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StrRehaGSchäV</w:t>
      </w:r>
    </w:p>
    <w:p>
      <w:r>
        <w:rPr>
          <w:color w:val="555555"/>
          <w:sz w:val="18"/>
        </w:rPr>
        <w:t xml:space="preserve">Verordnung über die schädigenden Ereignisse und gesundheitlichen Schädigungen im Sinne des § 21 Absatz 6 Satz 1 des Strafrechtlichen Rehabilitierungsgesetzes</w:t>
      </w:r>
    </w:p>
    <w:p>
      <w:r>
        <w:rPr>
          <w:color w:val="555555"/>
          <w:sz w:val="18"/>
        </w:rPr>
        <w:t xml:space="preserve">Stand: 20.05.2026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StrRehaGSchäV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https://recht.nulegal.eu/gesetze/StrRehaGSch%C3%A4V/schlussformel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