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StrRehaGSchäV — Gesundheitliche Schädigungen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21 Absatz 6 Satz 1 des Strafrechtlichen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Gesundheitliche Schädigungen im Sinne des § 21 Absatz 6 Satz 1 des Strafrechtlichen Rehabilitierungsgesetzes sind folgende gesundheitliche Beeinträchtigungen:</w:t>
      </w:r>
    </w:p>
    <w:p>
      <w:pPr>
        <w:ind w:left="420"/>
      </w:pPr>
      <w:r>
        <w:t xml:space="preserve">1. depressive Störungen,</w:t>
      </w:r>
    </w:p>
    <w:p>
      <w:pPr>
        <w:ind w:left="420"/>
      </w:pPr>
      <w:r>
        <w:t xml:space="preserve">2. angst- oder furchtbezogene Störungen,</w:t>
      </w:r>
    </w:p>
    <w:p>
      <w:pPr>
        <w:ind w:left="420"/>
      </w:pPr>
      <w:r>
        <w:t xml:space="preserve">3. somatische Belastungsstörungen oder Störungen der Körpererfahrung sowie</w:t>
      </w:r>
    </w:p>
    <w:p>
      <w:pPr>
        <w:ind w:left="420"/>
      </w:pPr>
      <w:r>
        <w:t xml:space="preserve">4. posttraumatische Belastungsstörungen.</w:t>
      </w:r>
    </w:p>
    <w:p>
      <w:r>
        <w:rPr>
          <w:color w:val="555555"/>
          <w:sz w:val="17"/>
        </w:rPr>
        <w:t xml:space="preserve">Zitiervorschlag: § 2 StrRehaGSchäV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https://recht.nulegal.eu/gesetze/StrRehaGSch%C3%A4V/2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