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StrRehaG — Besetzung der Rehabilitierungssenate oder Rehabilitierungskammern</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Das Bezirksgericht entscheidet durch Rehabilitierungssenate, das Landgericht durch Rehabilitierungskammern, die jeweils mit drei Berufsrichtern besetzt sind.</w:t>
      </w:r>
    </w:p>
    <w:p>
      <w:r>
        <w:t xml:space="preserve">(2) Wer vor dem 3. Oktober 1990 im Beitrittsgebiet als Berufsrichter oder Staatsanwalt tätig war, ist von der Mitwirkung an Rehabilitierungsentscheidungen kraft Gesetzes ausgeschlossen, solange er nicht auf Grund des Deutschen Richtergesetzes und der dazu ergangenen Maßgaben des Einigungsvertrages in ein Richterverhältnis berufen worden ist. An einer Rehabilitierungsentscheidung darf nicht mehr als ein Richter mitwirken, der vor dem 3. Oktober 1990 im Beitrittsgebiet als Berufsrichter oder Staatsanwalt tätig war.</w:t>
      </w:r>
    </w:p>
    <w:p>
      <w:r>
        <w:rPr>
          <w:color w:val="555555"/>
          <w:sz w:val="17"/>
        </w:rPr>
        <w:t xml:space="preserve">Zitiervorschlag: § 9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