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StrRehaG — Zuständiges Gericht</w:t>
      </w:r>
    </w:p>
    <w:p>
      <w:r>
        <w:rPr>
          <w:color w:val="555555"/>
          <w:sz w:val="18"/>
        </w:rPr>
        <w:t xml:space="preserve">Strafrechtliches Rehabilitierungsgesetz</w:t>
      </w:r>
    </w:p>
    <w:p>
      <w:r>
        <w:rPr>
          <w:color w:val="555555"/>
          <w:sz w:val="18"/>
        </w:rPr>
        <w:t xml:space="preserve">Stand: 10.06.2019 (konsolidierte Textfassung, kein amtliches Inkrafttretensdatum)</w:t>
      </w:r>
    </w:p>
    <w:p>
      <w:r>
        <w:t xml:space="preserve">(1) Für die Entscheidung nach § 1 ist das Bezirksgericht oder das an dessen Sitz errichtete Landgericht zuständig, in dessen Bezirk nach Maßgabe der Bezirksgerichtsgrenzen vom 3. Oktober 1990 das erstinstanzliche Strafverfahren oder das Ermittlungsverfahren durchgeführt worden ist. Soweit in erster Instanz das Oberste Gericht der Deutschen Demokratischen Republik entschieden hat, ist das Landgericht Berlin zuständig.</w:t>
      </w:r>
    </w:p>
    <w:p>
      <w:r>
        <w:t xml:space="preserve">(2) Hat sich der Gerichtsbezirk nach Erlass der angegriffenen Entscheidung geändert, bleibt das Gericht örtlich zuständig, das zum Zeitpunkt des Ergehens der angegriffenen Entscheidung nach Absatz 1 zuständig gewesen wäre.</w:t>
      </w:r>
    </w:p>
    <w:p>
      <w:r>
        <w:rPr>
          <w:color w:val="555555"/>
          <w:sz w:val="17"/>
        </w:rPr>
        <w:t xml:space="preserve">Zitiervorschlag: § 8 StrRehaG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https://recht.nulegal.eu/gesetze/StrRehaG/8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