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StrRehaG — Beendigung der Vollstreckung</w:t>
      </w:r>
    </w:p>
    <w:p>
      <w:r>
        <w:rPr>
          <w:color w:val="555555"/>
          <w:sz w:val="18"/>
        </w:rPr>
        <w:t xml:space="preserve">Strafrechtliches Rehabilitierungsgesetz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Vollstreckung einer strafgerichtlichen Entscheidung endet mit der Rechtskraft der aufhebenden Entscheidung, wenn die Vollstreckung noch nicht beendet ist. Durch einen Antrag nach § 1 wird die Vollstreckung einer noch nicht vollstreckten Rechtsfolge nicht gehemmt. Das Gericht kann einen Aufschub oder eine Unterbrechung der Vollstreckung anordnen.</w:t>
      </w:r>
    </w:p>
    <w:p>
      <w:r>
        <w:t xml:space="preserve">(2) Soweit die Entscheidung nicht aufgehoben wird, hat das Gericht die Vollstreckung für erledigt zu erklären, wenn ihre Fortsetzung unter Berücksichtigung der bereits vollstreckten Rechtsfolgen unverhältnismäßig wäre.</w:t>
      </w:r>
    </w:p>
    <w:p>
      <w:r>
        <w:rPr>
          <w:color w:val="555555"/>
          <w:sz w:val="17"/>
        </w:rPr>
        <w:t xml:space="preserve">Zitiervorschlag: § 4 StrRehaG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https://recht.nulegal.eu/gesetze/StrRehaG/4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