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StrRehaG — Folgeansprüche</w:t>
      </w:r>
    </w:p>
    <w:p>
      <w:r>
        <w:rPr>
          <w:color w:val="555555"/>
          <w:sz w:val="18"/>
        </w:rPr>
        <w:t xml:space="preserve">Strafrechtliches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Aufhebung einer Entscheidung nach § 1 begründet Ansprüche nach Maßgabe dieses Gesetzes.</w:t>
      </w:r>
    </w:p>
    <w:p>
      <w:r>
        <w:t xml:space="preserve">(2) Wird eine Einziehung von Gegenständen oder eine Vermögenseinziehung aufgehoben, richtet sich die Rückübertragung oder Rückgabe von Vermögenswerten nach dem Vermögensgesetz und dem Investitionsvorranggesetz.</w:t>
      </w:r>
    </w:p>
    <w:p>
      <w:r>
        <w:rPr>
          <w:color w:val="555555"/>
          <w:sz w:val="17"/>
        </w:rPr>
        <w:t xml:space="preserve">Zitiervorschlag: § 3 StrRehaG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