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StrRehaG — Zuständigkeiten</w:t>
      </w:r>
    </w:p>
    <w:p>
      <w:r>
        <w:rPr>
          <w:color w:val="555555"/>
          <w:sz w:val="18"/>
        </w:rPr>
        <w:t xml:space="preserve">Strafrechtliches Rehabilitierungsgesetz</w:t>
      </w:r>
    </w:p>
    <w:p>
      <w:r>
        <w:rPr>
          <w:color w:val="555555"/>
          <w:sz w:val="18"/>
        </w:rPr>
        <w:t xml:space="preserve">Stand: 01.01.2024 (konsolidierte Textfassung, kein amtliches Inkrafttretensdatum)</w:t>
      </w:r>
    </w:p>
    <w:p>
      <w:r>
        <w:t xml:space="preserve">(1) Für die Gewährung der Leistungen nach den §§ 17, 17a und 19 und zur Prüfung der Voraussetzungen des § 16 Abs. 2 ist die Landesjustizverwaltung zuständig, in deren Geschäftsbereich die Rehabilitierungsentscheidung ergangen ist. Die Landesregierungen können durch Rechtsverordnung andere Zuständigkeiten begründen. Über Streitigkeiten bei der Anwendung des § 16 Abs. 2 sowie der §§ 17, 17a und 19 entscheidet das nach § 8 zuständige Gericht. Die Vorschriften des Abschnitts 2 dieses Gesetzes gelten sinngemäß. Der Antrag auf gerichtliche Entscheidung ist innerhalb eines Monats seit Zustellung der Entscheidung nach Satz 1 zu stellen.</w:t>
      </w:r>
    </w:p>
    <w:p>
      <w:r>
        <w:t xml:space="preserve">(2) Die Leistungen nach den §§ 17 bis 19 werden auch Personen gewährt, die eine Bescheinigung nach § 10 Abs. 4 des Häftlingshilfegesetzes erhalten haben</w:t>
      </w:r>
    </w:p>
    <w:p>
      <w:pPr>
        <w:ind w:left="420"/>
      </w:pPr>
      <w:r>
        <w:t xml:space="preserve">1. für einen Gewahrsam, der auf einer Verurteilung durch ein deutsches Gericht oder auf einer der in § 1 Abs. 5 genannten strafrechtlichen Maßnahmen beruht, wenn diese Bescheinigung vor Inkrafttreten dieses Gesetzes beantragt worden ist, oder</w:t>
      </w:r>
    </w:p>
    <w:p>
      <w:pPr>
        <w:ind w:left="420"/>
      </w:pPr>
      <w:r>
        <w:t xml:space="preserve">2. weil sie im Zusammenhang mit der Errichtung oder Aufrechterhaltung der kommunistischen Gewaltherrschaft im Beitrittsgebiet dort ohne Verurteilung durch ein deutsches Gericht oder ohne eine der in § 1 Abs. 5 genannten strafrechtlichen Maßnahmen in Gewahrsam genommen oder in Gewahrsam gehalten wurden.</w:t>
      </w:r>
    </w:p>
    <w:p>
      <w:r>
        <w:t xml:space="preserve">Für die Gewährung der Leistungen nach den §§ 17, 17a und 19 an Berechtigte nach Satz 1 sind ausschließlich die in § 10 Abs. 2 des Häftlingshilfegesetzes bestimmten Stellen zuständig. Über Streitigkeiten bei der Anwendung der Sätze 1 und 2 entscheidet das Verwaltungsgericht.</w:t>
      </w:r>
    </w:p>
    <w:p>
      <w:r>
        <w:t xml:space="preserve">(3) Die Bundesregierung wird ermächtigt, durch Rechtsverordnung mit Zustimmung des Bundesrates den Zeitpunkt und die Reihenfolge der Gewährung der Leistung, auf die nach Absatz 2 ein Anspruch besteht, nach den Gesichtspunkten der sozialen Dringlichkeit zu bestimmen.</w:t>
      </w:r>
    </w:p>
    <w:p>
      <w:r>
        <w:t xml:space="preserve">(4) Für die Gewährung von Leistungen nach den §§ 21 und 22 sind die nach Landesrecht zur Durchführung des Vierzehnten Buches Sozialgesetzbuch bestimmten Behörden zuständig. Das Verfahren für die Gewährung von Leistungen nach den §§ 21 und 22 richtet sich nach dem Ersten und Zehnten Buch Sozialgesetzbuch; die §§ 115 bis 119 des Vierzehnten Buches Sozialgesetzbuch gelten entsprechend.</w:t>
      </w:r>
    </w:p>
    <w:p>
      <w:r>
        <w:t xml:space="preserve">(5) In Streitigkeiten über Leistungen nach den §§ 21 und 22 entscheiden die Gerichte der Sozialgerichtsbarkeit. Für diese Verfahren sind die Vorschriften des Sozialgerichtsgesetzes für Angelegenheiten des Sozialen Entschädigungsrechts maßgebend.</w:t>
      </w:r>
    </w:p>
    <w:p>
      <w:r>
        <w:rPr>
          <w:color w:val="555555"/>
          <w:sz w:val="17"/>
        </w:rPr>
        <w:t xml:space="preserve">Zitiervorschlag: § 25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