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 StrRehaG — Zusammentreffen von Ansprüchen</w:t>
      </w:r>
    </w:p>
    <w:p>
      <w:r>
        <w:rPr>
          <w:color w:val="555555"/>
          <w:sz w:val="18"/>
        </w:rPr>
        <w:t xml:space="preserve">Strafrechtliches Rehabilitierungsgesetz</w:t>
      </w:r>
    </w:p>
    <w:p>
      <w:r>
        <w:rPr>
          <w:color w:val="555555"/>
          <w:sz w:val="18"/>
        </w:rPr>
        <w:t xml:space="preserve">Stand: 01.01.2024 (konsolidierte Textfassung, kein amtliches Inkrafttretensdatum)</w:t>
      </w:r>
    </w:p>
    <w:p>
      <w:r>
        <w:t xml:space="preserve">(1) Treffen Ansprüche aus § 21 mit folgenden Ansprüchen zusammen, werden die Leistungen der Sozialen Entschädigung unter Berücksichtigung des durch die gesamten Schädigungsfolgen bedingten Grades der Schädigungsfolgen nach diesem Gesetz gewährt:</w:t>
      </w:r>
    </w:p>
    <w:p>
      <w:pPr>
        <w:ind w:left="420"/>
      </w:pPr>
      <w:r>
        <w:t xml:space="preserve">1. Ansprüchen aus § 1 des Bundesversorgungsgesetzes,</w:t>
      </w:r>
    </w:p>
    <w:p>
      <w:pPr>
        <w:ind w:left="420"/>
      </w:pPr>
      <w:r>
        <w:t xml:space="preserve">2. Ansprüchen aus einem anderen Gesetz, das eine entsprechende Anwendung des Bundesversorgungsgesetzes vorsieht,</w:t>
      </w:r>
    </w:p>
    <w:p>
      <w:pPr>
        <w:ind w:left="420"/>
      </w:pPr>
      <w:r>
        <w:t xml:space="preserve">3. Ansprüchen nach § 21, § 23, § 24 oder Kapitel 23 des Vierzehnten Buches Sozialgesetzbuch oder</w:t>
      </w:r>
    </w:p>
    <w:p>
      <w:pPr>
        <w:ind w:left="420"/>
      </w:pPr>
      <w:r>
        <w:t xml:space="preserve">4. Ansprüchen aus anderen Gesetzen, die eine entsprechende Anwendung des Vierzehnten Buches Sozialgesetzbuch vorsehen.</w:t>
      </w:r>
    </w:p>
    <w:p>
      <w:r>
        <w:t xml:space="preserve">(2) (weggefallen)</w:t>
      </w:r>
    </w:p>
    <w:p>
      <w:r>
        <w:t xml:space="preserve">(3) Bei der Feststellung der Elternrente sind auch die Kinder zu berücksichtigen, die infolge einer Schädigung im Sinne des Vierzehnten Buches Sozialgesetzbuch gestorben. Besteht bereits ein Anspruch auf Elternrente nach dem Vierzehnten Buch Sozialgesetzbuch, wird sie nach diesem Gesetz nicht gewährt. Die Sätze 1 und 2 gelten entsprechend für den Anspruch auf Elternrente nach Gesetzen, die eine entsprechende Anwendung des Vierzehnten Buches Sozialgesetzbuch vorsehen.</w:t>
      </w:r>
    </w:p>
    <w:p>
      <w:r>
        <w:rPr>
          <w:color w:val="555555"/>
          <w:sz w:val="17"/>
        </w:rPr>
        <w:t xml:space="preserve">Zitiervorschlag: § 23 StrRehaG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https://recht.nulegal.eu/gesetze/StrRehaG/23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