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StrRehaG — Kostenregelung</w:t>
      </w:r>
    </w:p>
    <w:p>
      <w:r>
        <w:rPr>
          <w:color w:val="555555"/>
          <w:sz w:val="18"/>
        </w:rPr>
        <w:t xml:space="preserve">Strafrechtliches Rehabilitierungsgesetz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 trägt 65 vom Hundert der Ausgaben, die den Ländern durch Leistungen nach diesem Gesetz entstehen.</w:t>
      </w:r>
    </w:p>
    <w:p>
      <w:r>
        <w:rPr>
          <w:color w:val="555555"/>
          <w:sz w:val="17"/>
        </w:rPr>
        <w:t xml:space="preserve">Zitiervorschlag: § 20 StrRehaG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https://recht.nulegal.eu/gesetze/StrRehaG/20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