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StrRehaG — Rechtsstaatswidrige Entscheidungen über Freiheitsentzug außerhalb eines Strafverfahrens</w:t>
      </w:r>
    </w:p>
    <w:p>
      <w:r>
        <w:rPr>
          <w:color w:val="555555"/>
          <w:sz w:val="18"/>
        </w:rPr>
        <w:t xml:space="preserve">Strafrechtliches Rehabilitierungsgesetz</w:t>
      </w:r>
    </w:p>
    <w:p>
      <w:r>
        <w:rPr>
          <w:color w:val="555555"/>
          <w:sz w:val="18"/>
        </w:rPr>
        <w:t xml:space="preserve">Stand: 10.06.2019 (konsolidierte Textfassung, kein amtliches Inkrafttretensdatum)</w:t>
      </w:r>
    </w:p>
    <w:p>
      <w:r>
        <w:t xml:space="preserve">(1) Die Vorschriften dieses Gesetzes finden auf eine außerhalb eines Strafverfahrens ergangene gerichtliche oder behördliche Entscheidung, mit der eine Freiheitsentziehung angeordnet worden ist, entsprechende Anwendung. Dies gilt insbesondere für eine Einweisung in eine psychiatrische Anstalt sowie eine Anordnung einer Unterbringung in einem Heim für Kinder oder Jugendliche, die der politischen Verfolgung oder sonst sachfremden Zwecken gedient hat.</w:t>
      </w:r>
    </w:p>
    <w:p>
      <w:r>
        <w:t xml:space="preserve">(2) Der Freiheitsentziehung werden Leben unter haftähnlichen Bedingungen oder Zwangsarbeit unter haftähnlichen Bedingungen gleichgestellt.</w:t>
      </w:r>
    </w:p>
    <w:p>
      <w:r>
        <w:rPr>
          <w:color w:val="555555"/>
          <w:sz w:val="17"/>
        </w:rPr>
        <w:t xml:space="preserve">Zitiervorschlag: § 2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