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StrRehaG — Kosten des Verfahrens und notwendige Auslagen</w:t>
      </w:r>
    </w:p>
    <w:p>
      <w:r>
        <w:rPr>
          <w:color w:val="555555"/>
          <w:sz w:val="18"/>
        </w:rPr>
        <w:t xml:space="preserve">Strafrechtliches Rehabilitierungsgesetz</w:t>
      </w:r>
    </w:p>
    <w:p>
      <w:r>
        <w:rPr>
          <w:color w:val="555555"/>
          <w:sz w:val="18"/>
        </w:rPr>
        <w:t xml:space="preserve">Stand: 10.06.2019 (konsolidierte Textfassung, kein amtliches Inkrafttretensdatum)</w:t>
      </w:r>
    </w:p>
    <w:p>
      <w:r>
        <w:t xml:space="preserve">(1) Kosten des Verfahrens werden nicht erhoben.</w:t>
      </w:r>
    </w:p>
    <w:p>
      <w:r>
        <w:t xml:space="preserve">(2) Wird dem Antrag ganz oder teilweise stattgegeben, fallen die notwendigen Auslagen des Antragstellers der Staatskasse zur Last. Im Übrigen kann das Gericht die notwendigen Auslagen des Antragstellers ganz oder teilweise der Staatskasse auferlegen, wenn es unbillig wäre, den Antragsteller damit zu belasten.</w:t>
      </w:r>
    </w:p>
    <w:p>
      <w:r>
        <w:t xml:space="preserve">(3) Die Entscheidung nach Absatz 2 Satz 2 ist unanfechtbar.</w:t>
      </w:r>
    </w:p>
    <w:p>
      <w:r>
        <w:t xml:space="preserve">(4) Für die notwendigen Auslagen des Antragstellers im Beschwerdeverfahren gilt § 473 Abs. 1 bis 4 der Strafprozessordnung entsprechend.</w:t>
      </w:r>
    </w:p>
    <w:p>
      <w:r>
        <w:rPr>
          <w:color w:val="555555"/>
          <w:sz w:val="17"/>
        </w:rPr>
        <w:t xml:space="preserve">Zitiervorschlag: § 14 StrRehaG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https://recht.nulegal.eu/gesetze/StrRehaG/14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