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StrRehaG — Rehabilitierungsentscheidung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durch Beschluss. Die Entscheidung ergeht im schriftlichen Verfahren, wenn nicht die Voraussetzungen einer Verkündung nach § 35 Abs. 1 der Strafprozessordnung vorliegen.</w:t>
      </w:r>
    </w:p>
    <w:p>
      <w:r>
        <w:t xml:space="preserve">(2) In den Beschluss sind die Namen der Richter, der Verfahrensbeteiligten und ihrer Bevollmächtigten aufzunehmen. Der Beschluss enthält weiterhin</w:t>
      </w:r>
    </w:p>
    <w:p>
      <w:pPr>
        <w:ind w:left="420"/>
      </w:pPr>
      <w:r>
        <w:t xml:space="preserve">1. die Bezeichnung der angegriffenen Entscheidung,</w:t>
      </w:r>
    </w:p>
    <w:p>
      <w:pPr>
        <w:ind w:left="420"/>
      </w:pPr>
      <w:r>
        <w:t xml:space="preserve">2. die Feststellung, hinsichtlich welchen Vorwurfs und welcher Rechtsfolge die angegriffene Entscheidung aufgehoben wird,</w:t>
      </w:r>
    </w:p>
    <w:p>
      <w:pPr>
        <w:ind w:left="420"/>
      </w:pPr>
      <w:r>
        <w:t xml:space="preserve">3. die Dauer der zu Unrecht erlittenen Freiheitsentziehung,</w:t>
      </w:r>
    </w:p>
    <w:p>
      <w:pPr>
        <w:ind w:left="420"/>
      </w:pPr>
      <w:r>
        <w:t xml:space="preserve">4. den Betrag einer nach § 6 zu erstattenden Geldstrafe sowie die Feststellung, ob sonst ein Anspruch nach § 6 dem Grunde nach besteht.</w:t>
      </w:r>
    </w:p>
    <w:p>
      <w:r>
        <w:t xml:space="preserve">(3) Der Beschluss ist zu begründen, soweit er mit der Beschwerde anfechtbar ist.</w:t>
      </w:r>
    </w:p>
    <w:p>
      <w:r>
        <w:t xml:space="preserve">(4) Der Beschluss ist mit einer Rechtsmittelbelehrung zu versehen und den Verfahrensbeteiligten zuzustellen.</w:t>
      </w:r>
    </w:p>
    <w:p>
      <w:r>
        <w:rPr>
          <w:color w:val="555555"/>
          <w:sz w:val="17"/>
        </w:rPr>
        <w:t xml:space="preserve">Zitiervorschlag: § 12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