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StrRehaG — Gerichtliches Verfahren</w:t>
      </w:r>
    </w:p>
    <w:p>
      <w:r>
        <w:rPr>
          <w:color w:val="555555"/>
          <w:sz w:val="18"/>
        </w:rPr>
        <w:t xml:space="preserve">Strafrechtliches Rehabilitierungsgesetz</w:t>
      </w:r>
    </w:p>
    <w:p>
      <w:r>
        <w:rPr>
          <w:color w:val="555555"/>
          <w:sz w:val="18"/>
        </w:rPr>
        <w:t xml:space="preserve">Stand: 10.06.2019 (konsolidierte Textfassung, kein amtliches Inkrafttretensdatum)</w:t>
      </w:r>
    </w:p>
    <w:p>
      <w:r>
        <w:t xml:space="preserve">(1) Ein Antrag soll bevorzugt bearbeitet werden, wenn dies unter den Gesichtspunkten der sozialen Dringlichkeit oder des Lebensalters des Antragstellers geboten erscheint.</w:t>
      </w:r>
    </w:p>
    <w:p>
      <w:r>
        <w:t xml:space="preserve">(2) Vor der Entscheidung gibt das Gericht der Staatsanwaltschaft Gelegenheit zur Stellungnahme. Hat die Staatsanwaltschaft den Antrag gestellt, ist der nach § 7 Abs. 1 Nr. 1 Antragsberechtigte zu hören.</w:t>
      </w:r>
    </w:p>
    <w:p>
      <w:r>
        <w:t xml:space="preserve">(3) Das Gericht entscheidet in der Regel ohne mündliche Erörterung. Es kann eine mündliche Erörterung anordnen, wenn es dies zur Aufklärung des Sachverhalts oder aus anderen Gründen für erforderlich hält.</w:t>
      </w:r>
    </w:p>
    <w:p>
      <w:r>
        <w:t xml:space="preserve">(4) Das Gericht kann das persönliche Erscheinen des Antragstellers anordnen. Leistet der Antragsteller dieser Anordnung keine Folge, kann das Gericht das Ruhen des Verfahrens anordnen. Der Antragsteller kann binnen sechs Monaten die Fortsetzung des Verfahrens beantragen.</w:t>
      </w:r>
    </w:p>
    <w:p>
      <w:r>
        <w:t xml:space="preserve">(5) Ist zu erwarten, dass die Entscheidung über den Antrag unmittelbare Wirkung auf die Rechte eines Dritten haben wird, so ist auch dieser an dem Verfahren zu beteiligen. Absatz 1 und Absatz 3 Satz 1 gelten insoweit entsprechend.</w:t>
      </w:r>
    </w:p>
    <w:p>
      <w:r>
        <w:rPr>
          <w:color w:val="555555"/>
          <w:sz w:val="17"/>
        </w:rPr>
        <w:t xml:space="preserve">Zitiervorschlag: § 11 StrRehaG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https://recht.nulegal.eu/gesetze/StrRehaG/11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