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StrRehaG — Ermittlung des Sachverhalts</w:t>
      </w:r>
    </w:p>
    <w:p>
      <w:r>
        <w:rPr>
          <w:color w:val="555555"/>
          <w:sz w:val="18"/>
        </w:rPr>
        <w:t xml:space="preserve">Strafrechtliches Rehabilitierungsgesetz</w:t>
      </w:r>
    </w:p>
    <w:p>
      <w:r>
        <w:rPr>
          <w:color w:val="555555"/>
          <w:sz w:val="18"/>
        </w:rPr>
        <w:t xml:space="preserve">Stand: 02.12.2019 (konsolidierte Textfassung, kein amtliches Inkrafttretensdatum)</w:t>
      </w:r>
    </w:p>
    <w:p>
      <w:r>
        <w:t xml:space="preserve">(1) Das Gericht ermittelt den Sachverhalt von Amts wegen. Dabei bestimmt es Art und Umfang der Ermittlungen, insbesondere etwaiger Beweiserhebungen, nach pflichtgemäßem Ermessen.</w:t>
      </w:r>
    </w:p>
    <w:p>
      <w:r>
        <w:t xml:space="preserve">(2) Das Gericht kann dem Antragsteller aufgeben, für die Entscheidung benötigte Unterlagen und andere Beweismittel vorzulegen oder zu bezeichnen und die den Antrag begründenden Tatsachen glaubhaft zu machen. § 11 Abs. 4 Satz 2 und 3 dieses Gesetzes sowie § 294 Abs. 1 der Zivilprozessordnung gelten entsprechend.</w:t>
      </w:r>
    </w:p>
    <w:p>
      <w:r>
        <w:t xml:space="preserve">(3) Es wird vermutet, dass die Anordnung der Unterbringung in einem Heim für Kinder oder Jugendliche der politischen Verfolgung oder sonst sachfremden Zwecken diente, wenn eine Einweisung in ein Spezialheim oder in eine vergleichbare Einrichtung, in der eine zwangsweise Umerziehung erfolgte, stattfand. Darüber hinaus wird vermutet, dass die Anordnung der Unterbringung in einem Heim für Kinder oder Jugendliche der politischen Verfolgung oder sonst sachfremden Zwecken diente, soweit gleichzeitig mit der Unterbringung freiheitsentziehende Maßnahmen gegen die Eltern oder Elternteile aufgrund von Entscheidungen, die im Wege der Rehabilitierung für rechtsstaatswidrig erklärt und aufgehoben worden sind, vollstreckt wurden. Eine gleichzeitige Vollstreckung freiheitsentziehender Maßnahmen liegt vor, wenn zwischen der Unterbringung in einem Heim und der Vollstreckung der freiheitsentziehenden Maßnahmen ein Sach- und Zeitzusammenhang besteht.</w:t>
      </w:r>
    </w:p>
    <w:p>
      <w:r>
        <w:t xml:space="preserve">(4) Dem Antragsteller sind auf sein Verlangen Abschriften der angegriffenen Entscheidung und der Anklageschrift zu erteilen, soweit diese zugänglich sind.</w:t>
      </w:r>
    </w:p>
    <w:p>
      <w:r>
        <w:t xml:space="preserve">(5) Das Gericht kann die Durchführung einzelner Ermittlungen der Staatsanwaltschaft übertragen.</w:t>
      </w:r>
    </w:p>
    <w:p>
      <w:r>
        <w:rPr>
          <w:color w:val="555555"/>
          <w:sz w:val="17"/>
        </w:rPr>
        <w:t xml:space="preserve">Zitiervorschlag: § 10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