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StrPrüfVO (Sachsen) — Anrechenbare Kosten</w:t>
      </w:r>
    </w:p>
    <w:p>
      <w:r>
        <w:rPr>
          <w:color w:val="555555"/>
          <w:sz w:val="18"/>
        </w:rPr>
        <w:t xml:space="preserve">Verordnung des Sächsischen Staatsministeriums für Wirtschaft, Arbeit und Verkehr über die bautechnische Prüfung baulicher Anlagen in öffentlichen Straßen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Anrechenbar sind die Kosten für die Herstellung der baulichen Anlage, einschließlich Umsatzsteuer, abzüglich der Kosten für Leistungen, die keinen Einfluss auf den Standsicherheitsnachweis haben.</w:t>
      </w:r>
    </w:p>
    <w:p>
      <w:r>
        <w:t xml:space="preserve">(2) Die anrechenbaren Kosten sind jeweils auf volle Tausend EUR aufzurunden.</w:t>
      </w:r>
    </w:p>
    <w:p>
      <w:r>
        <w:rPr>
          <w:color w:val="555555"/>
          <w:sz w:val="17"/>
        </w:rPr>
        <w:t xml:space="preserve">Zitiervorschlag: § 9 StrPrüfVO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https://recht.nulegal.eu/gesetze/StrPr%C3%BCfVO/9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