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StrPrüfVO (Sachsen) — Bauwerksklassen</w:t>
      </w:r>
    </w:p>
    <w:p>
      <w:r>
        <w:rPr>
          <w:color w:val="555555"/>
          <w:sz w:val="18"/>
        </w:rPr>
        <w:t xml:space="preserve">Verordnung des Sächsischen Staatsministeriums für Wirtschaft, Arbeit und Verkehr über die bautechnische Prüfung baulicher Anlagen in öffentlichen Straßen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zu prüfenden baulichen Anlagen werden entsprechend ihrem statischen und konstruktiven Schwierigkeitsgrad in fünf Klassen gemäß Anlage 1 eingeteilt.</w:t>
      </w:r>
    </w:p>
    <w:p>
      <w:r>
        <w:t xml:space="preserve">(2) Besteht die bauliche Anlage aus Bauteilen mit unterschiedlichem Schwierigkeitsgrad, so ist sie in die Bauwerksklasse einzustufen, auf die sich der überwiegende Prüfaufwand erstreckt.</w:t>
      </w:r>
    </w:p>
    <w:p>
      <w:r>
        <w:rPr>
          <w:color w:val="555555"/>
          <w:sz w:val="17"/>
        </w:rPr>
        <w:t xml:space="preserve">Zitiervorschlag: § 8 StrPrüfVO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https://recht.nulegal.eu/gesetze/StrPr%C3%BCfVO/8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