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StrPrüfVO (Sachsen) — Grundlagen der Vergütung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Prüfamt und der Prüfingenieur erhalten für ihre Leistungen, die sie im Auftrag der Straßenbaubehörde erbringen, eine Vergütung. Die Vergütung besteht aus Gebühren und Auslagen.</w:t>
      </w:r>
    </w:p>
    <w:p>
      <w:r>
        <w:t xml:space="preserve">(2) Die Gebühren richten sich nach den Bauwerksklassen (§ 8) und den anrechenbaren Kosten (§ 9).</w:t>
      </w:r>
    </w:p>
    <w:p>
      <w:r>
        <w:rPr>
          <w:color w:val="555555"/>
          <w:sz w:val="17"/>
        </w:rPr>
        <w:t xml:space="preserve">Zitiervorschlag: § 7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