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StrPrüfVO (Sachsen) — Typenprüfung</w:t>
      </w:r>
    </w:p>
    <w:p>
      <w:r>
        <w:rPr>
          <w:color w:val="555555"/>
          <w:sz w:val="18"/>
        </w:rPr>
        <w:t xml:space="preserve">Verordnung des Sächsischen Staatsministeriums für Wirtschaft, Arbeit und Verkehr über die bautechnische Prüfung baulicher Anlagen in öffentlichen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bauliche Anlagen, die eines Standsicherheitsnachweises bedürfen und die in gleicher Ausführung an mehreren Stellen errichtet oder verwendet werden, können bereits geprüfte Nachweise der Standsicherheit und geprüfte Konstruktionszeichnungen vorgelegt werden; diese Nachweise müssen von der Landesdirektion Sachsen – Landesstelle für Bautechnik oder von einer in den anderen Ländern dafür vorgesehenen Stelle typengeprüft sein (Typenprüfung).</w:t>
      </w:r>
    </w:p>
    <w:p>
      <w:r>
        <w:t xml:space="preserve">(2) Die Geltungsdauer einer Typenprüfung ist unter dem Vorbehalt des Widerrufs auf höchstens fünf Jahre zu befristen. Sie kann auf schriftlichen Antrag um jeweils höchstens fünf Jahre verlängert werden.</w:t>
      </w:r>
    </w:p>
    <w:p>
      <w:r>
        <w:rPr>
          <w:color w:val="555555"/>
          <w:sz w:val="17"/>
        </w:rPr>
        <w:t xml:space="preserve">Zitiervorschlag: § 6 StrPrüfVO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https://recht.nulegal.eu/gesetze/StrPr%C3%BCfVO/6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