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StrPrüfVO (Sachsen) — Berechnung der Gebühren</w:t>
      </w:r>
    </w:p>
    <w:p>
      <w:r>
        <w:rPr>
          <w:color w:val="555555"/>
          <w:sz w:val="18"/>
        </w:rPr>
        <w:t xml:space="preserve">Verordnung des Sächsischen Staatsministeriums für Wirtschaft, Arbeit und Verkehr über die bautechnische Prüfung baulicher Anlagen in öffentlichen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Berechnung der Gebühren erfolgt unter Zugrundelegung der anrechenbaren Kosten (§ 9), soweit sie nicht gemäß § 12 nach dem Zeitaufwand vergütet werden.</w:t>
      </w:r>
    </w:p>
    <w:p>
      <w:r>
        <w:t xml:space="preserve">(2) Die Grundgebühr errechnet sich entsprechend der Bauwerksklasse (§ 8) aus der Gebührentafel der Anlage 2. Für Zwischenstufen der anrechenbaren Kosten ist die Gebühr durch geradlinige Interpolation zu ermitteln. Eine Interpolation zwischen den Klassen der Gebührentafel ist nicht zulässig.</w:t>
      </w:r>
    </w:p>
    <w:p>
      <w:r>
        <w:t xml:space="preserve">(3) Umfasst der Prüfauftrag mehrere bauliche Anlagen, so ist die Gebühr für jede einzelne bauliche Anlage getrennt zu ermitteln. Dabei sind die anrechenbaren Kosten und die Bauwerksklasse der jeweiligen baulichen Anlage zugrunde zu legen. Gehören bauliche Anlagen jedoch der gleichen Bauwerksklasse an, so sind, wenn sie auch im Übrigen in statisch-konstruktiver Hinsicht weitgehend vergleichbar sind, die anrechenbaren Kosten dieser baulichen Anlagen zusammenzufassen; die Gebühr ist danach wie für eine einzige Anlage zu ermitteln.</w:t>
      </w:r>
    </w:p>
    <w:p>
      <w:r>
        <w:t xml:space="preserve">(4) Umfasst ein Prüfauftrag mehrere bauliche Anlagen mit im Wesentlichen gleichen statisch-konstruktiven Verhältnissen, so ermäßigen sich die Gebühren für die 1. bis 4. Wiederholung um die Hälfte, von der 5. Wiederholung an um 60 Prozent. Dies kommt in Betracht insbesondere für Brücken im Zuge von zweibahnigen Straßen mit getrennten Überbauten und im Wesentlichen gleichen statisch-konstruktiven Verhältnissen.</w:t>
      </w:r>
    </w:p>
    <w:p>
      <w:r>
        <w:t xml:space="preserve">(5) Umfasst ein Prüfauftrag mehrere bauliche Anlagen mit gleichen statisch-konstruktiven Verhältnissen, so ermäßigen sich die Gebühren für die Wiederholungen um 90 Prozent. Dies kommt in Betracht insbesondere für Brücken im Zuge von zweibahnigen Straßen mit getrennten Überbauten und gleichen statisch-konstruktiven Verhältnissen.</w:t>
      </w:r>
    </w:p>
    <w:p>
      <w:r>
        <w:t xml:space="preserve">(6) Bei baulichen Anlagen mit erheblichen Längenausdehnungen und weitgehend gleich bleibenden statisch-konstruktiven Verhältnissen, bei denen kein ausgewogenes Verhältnis zwischen der Gebühr und den Leistungen des Prüfingenieurs besteht, werden die Gebühren angemessen gemindert. Dies kommt in Betracht insbesondere bei langen Stützwänden, Lärmschutzanlagen, Tunneln, Galerien und langen Brücken.</w:t>
      </w:r>
    </w:p>
    <w:p>
      <w:r>
        <w:rPr>
          <w:color w:val="555555"/>
          <w:sz w:val="17"/>
        </w:rPr>
        <w:t xml:space="preserve">Zitiervorschlag: § 10 StrPrüfVO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https://recht.nulegal.eu/gesetze/StrPr%C3%BCfVO/10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