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StrKrVerkLeistV — Duldungspflicht der Eisenbahnen</w:t>
      </w:r>
    </w:p>
    <w:p>
      <w:r>
        <w:rPr>
          <w:color w:val="555555"/>
          <w:sz w:val="18"/>
        </w:rPr>
        <w:t xml:space="preserve">Verordnung über Verkehrsleistungen der Eisenbahnen für die Streitkräfte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öffentlichen Eisenbahnen haben zu dulden, daß die Angehörigen der Streitkräfte Bahnanlagen, die nicht dem allgemeinen Verkehrsgebrauch dienen, betreten oder benutzen, soweit dies für die Inanspruchnahme der Verkehrsleistungen notwendig ist.</w:t>
      </w:r>
    </w:p>
    <w:p>
      <w:r>
        <w:t xml:space="preserve">(2) Soweit die Streitkräfte nach dieser Verordnung auf dem Gebiet der Bahnanlagen Ordnungs-, Wach- und Sicherungskräfte einsetzen können, haben die öffentlichen Eisenbahnen den Einsatz sowie das damit verbundene Betreten oder Benutzen der Bahnanlagen zu dulden.</w:t>
      </w:r>
    </w:p>
    <w:p>
      <w:r>
        <w:rPr>
          <w:color w:val="555555"/>
          <w:sz w:val="17"/>
        </w:rPr>
        <w:t xml:space="preserve">Zitiervorschlag: § 7 StrKrVerkLeistV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https://recht.nulegal.eu/gesetze/StrKrVerkLeistV/7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