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StrKrVerkLeistV — Anmeldung von Verkehrsleistungen</w:t>
      </w:r>
    </w:p>
    <w:p>
      <w:r>
        <w:rPr>
          <w:color w:val="555555"/>
          <w:sz w:val="18"/>
        </w:rPr>
        <w:t xml:space="preserve">Verordnung über Verkehrsleistungen der Eisenbahnen für die Streitkräfte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öffentlichen Eisenbahnen können für Verkehrsleistungen nach § 1 besondere Anmeldungen fordern. Art und Umfang der Verkehrsleistungen und Anmeldefristen vereinbaren die öffentlichen Eisenbahnen mit den Streitkräften.</w:t>
      </w:r>
    </w:p>
    <w:p>
      <w:r>
        <w:rPr>
          <w:color w:val="555555"/>
          <w:sz w:val="17"/>
        </w:rPr>
        <w:t xml:space="preserve">Zitiervorschlag: § 3 StrKrVerkLeistV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https://recht.nulegal.eu/gesetze/StrKrVerkLeistV/3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