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StrKrVerkLeistV — Anzuwendende Vorschriften</w:t>
      </w:r>
    </w:p>
    <w:p>
      <w:r>
        <w:rPr>
          <w:color w:val="555555"/>
          <w:sz w:val="18"/>
        </w:rPr>
        <w:t xml:space="preserve">Verordnung über Verkehrsleistungen der Eisenbahnen für die Streitkräfte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Verkehrsleistungen der öffentlichen Eisenbahnen für die Streitkräfte nach § 1 werden nach den allgemein geltenden Vorschriften erbracht, soweit nicht durch diese Verordnung oder auf Grund des § 10 Abs. 6 des Verkehrssicherstellungsgesetzes durch die zuständigen Behörden etwas anderes bestimmt ist oder zugelassen wird.</w:t>
      </w:r>
    </w:p>
    <w:p>
      <w:r>
        <w:t xml:space="preserve">(2) Für die Abgeltung von Leistungen nach § 1 gelten die besonderen Vereinbarungen zwischen den Streitkräften und den öffentlichen Eisenbahnen.</w:t>
      </w:r>
    </w:p>
    <w:p>
      <w:r>
        <w:rPr>
          <w:color w:val="555555"/>
          <w:sz w:val="17"/>
        </w:rPr>
        <w:t xml:space="preserve">Zitiervorschlag: § 2 StrKrVerkLeistV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https://recht.nulegal.eu/gesetze/StrKrVerkLeistV/2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