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StrKrVerkLeistV — Zuständigkeiten der Streitkräfte</w:t>
      </w:r>
    </w:p>
    <w:p>
      <w:r>
        <w:rPr>
          <w:color w:val="555555"/>
          <w:sz w:val="18"/>
        </w:rPr>
        <w:t xml:space="preserve">Verordnung über Verkehrsleistungen der Eisenbahnen für die Streitkräfte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Verteidigung bestimmt, welche Stellen der Streitkräfte die ihnen nach dieser Verordnung obliegenden Zuständigkeiten wahrnehmen.</w:t>
      </w:r>
    </w:p>
    <w:p>
      <w:r>
        <w:rPr>
          <w:color w:val="555555"/>
          <w:sz w:val="17"/>
        </w:rPr>
        <w:t xml:space="preserve">Zitiervorschlag: § 11 StrKrVerkLeistV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https://recht.nulegal.eu/gesetze/StrKrVerkLeistV/11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StrKrVerkLeistV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