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StrKrVerkLeistV — Schadensausgleich</w:t>
      </w:r>
    </w:p>
    <w:p>
      <w:r>
        <w:rPr>
          <w:color w:val="555555"/>
          <w:sz w:val="18"/>
        </w:rPr>
        <w:t xml:space="preserve">Verordnung über Verkehrsleistungen der Eisenbahnen für die Streitkräfte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Schäden, die dadurch entstehen, daß</w:t>
      </w:r>
    </w:p>
    <w:p>
      <w:pPr>
        <w:ind w:left="420"/>
      </w:pPr>
      <w:r>
        <w:t xml:space="preserve">1. bei der Erbringung von Verkehrsleistungen für die Streitkräfte von den für den öffentlichen Verkehr geltenden Vorschriften nach den Vorschriften dieser Verordnung oder auf Grund einer Genehmigung nach § 10 Abs. 6 des Verkehrssicherstellungsgesetzes abgewichen wird oder</w:t>
      </w:r>
    </w:p>
    <w:p>
      <w:pPr>
        <w:ind w:left="420"/>
      </w:pPr>
      <w:r>
        <w:t xml:space="preserve">2. Angehörige der Streitkräfte Bahnanlagen nach § 7 betreten oder benutzen,</w:t>
      </w:r>
    </w:p>
    <w:p>
      <w:r>
        <w:t xml:space="preserve">werden im Verhältnis zwischen den Streitkräften und den Eisenbahnen von den Streitkräften getragen.</w:t>
      </w:r>
    </w:p>
    <w:p>
      <w:r>
        <w:t xml:space="preserve">(2) Hat ein Verschulden einer Eisenbahn oder ihrer Mitarbeiterinnen und Mitarbeiter bei der Entstehung des Schadens mitgewirkt, so gilt § 254 des Bürgerlichen Gesetzbuchs entsprechend.</w:t>
      </w:r>
    </w:p>
    <w:p>
      <w:r>
        <w:t xml:space="preserve">(3) Die Eisenbahnen unterrichten die Streitkräfte über Schadensersatzansprüche Dritter in Schadensfällen, in denen ein Schadensausgleich nach Absatz 1 in Betracht kommt.</w:t>
      </w:r>
    </w:p>
    <w:p>
      <w:r>
        <w:rPr>
          <w:color w:val="555555"/>
          <w:sz w:val="17"/>
        </w:rPr>
        <w:t xml:space="preserve">Zitiervorschlag: § 10 StrKrVerkLeistV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https://recht.nulegal.eu/gesetze/StrKrVerkLeistV/10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