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StrKrVO - (Nordrhein-Westfalen)</w:t>
      </w:r>
    </w:p>
    <w:p>
      <w:r>
        <w:rPr>
          <w:color w:val="555555"/>
          <w:sz w:val="18"/>
        </w:rPr>
        <w:t xml:space="preserve">Straßenkreuzungsverordnung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August 1983</w:t>
      </w:r>
    </w:p>
    <w:p>
      <w:r>
        <w:t xml:space="preserve">Auf Grund des § 36 Abs. 1 Nr. 2 des Straßen- und Wegegesetzes des Landes Nordrhein-Westfalen - StrWG NW - in der Fassung der Bekanntmachung vom 1. August 1983 (GV. NW. S. 306) wird verordnet:</w:t>
      </w:r>
    </w:p>
    <w:p>
      <w:r>
        <w:rPr>
          <w:color w:val="555555"/>
          <w:sz w:val="17"/>
        </w:rPr>
        <w:t xml:space="preserve">Zitiervorschlag: Volltext StrKrVO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https://recht.nulegal.eu/gesetze/StrKrVO%20-/volltext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