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StrKrVO - (Nordrhein-Westfalen) — Einmündungen</w:t>
      </w:r>
    </w:p>
    <w:p>
      <w:r>
        <w:rPr>
          <w:color w:val="555555"/>
          <w:sz w:val="18"/>
        </w:rPr>
        <w:t xml:space="preserve">Straßenkreuzungsverordnung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der §§ 1 bis 4 gelten auch für Einmündungen von Straßen in Straßen höherer Verkehrsbedeutung (§ 33 Abs. 1 Satz 2 und 3 StrWG NW). Bei höhenungleichen Einmündungen beginnen die Verbindungsarme an der ersten Aufweitung der einmündenden Straße.</w:t>
      </w:r>
    </w:p>
    <w:p>
      <w:r>
        <w:rPr>
          <w:color w:val="555555"/>
          <w:sz w:val="17"/>
        </w:rPr>
        <w:t xml:space="preserve">Zitiervorschlag: § 5 StrKrVO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https://recht.nulegal.eu/gesetze/StrKrVO%20-/5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