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StrKrVO - (Nordrhein-Westfalen) — Sonstige Teile der Kreuzungsanlage</w:t>
      </w:r>
    </w:p>
    <w:p>
      <w:r>
        <w:rPr>
          <w:color w:val="555555"/>
          <w:sz w:val="18"/>
        </w:rPr>
        <w:t xml:space="preserve">Straßenkreuzungsverordnung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den §§ 1 und 2 nicht erfaßten Teile der Straße höherer Verkehrsbedeutung und der kreuzenden Straße gehören zu der Straße, der sie unmittelbar dienen.</w:t>
      </w:r>
    </w:p>
    <w:p>
      <w:r>
        <w:rPr>
          <w:color w:val="555555"/>
          <w:sz w:val="17"/>
        </w:rPr>
        <w:t xml:space="preserve">Zitiervorschlag: § 3 StrKrVO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https://recht.nulegal.eu/gesetze/StrKrVO%20-/3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