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StrKrPersStruktG</w:t>
      </w:r>
    </w:p>
    <w:p>
      <w:r>
        <w:rPr>
          <w:color w:val="555555"/>
          <w:sz w:val="18"/>
        </w:rPr>
        <w:t xml:space="preserve">Gesetz zur Verbesserung der Personalstruktur in den Streitkräften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Auf Berufssoldaten, die nach diesem Gesetz in den Ruhestand versetzt worden sind, finden auch § 27 Absatz 1 und § 40 Absatz 2 des Soldatenversorgungsgesetzes Anwendung, § 40 Absatz 2 Satz 2 des Soldatenversorgungsgesetzes mit der Maßgabe, daß an die Stelle des dreiundfünfzigsten Lebensjahrs das fünfundvierzigste Lebensjahr tritt.</w:t>
      </w:r>
    </w:p>
    <w:p>
      <w:r>
        <w:t xml:space="preserve">(2) Berufssoldaten, die nach diesem Gesetz in den Ruhestand versetzt worden sind, erhalten beim Eintritt in den Ruhestand einen einmaligen Ausgleich. Dieser beträgt beim Eintritt in den Ruhestand nach Vollendung des</w:t>
      </w:r>
    </w:p>
    <w:p>
      <w:r>
        <w:rPr>
          <w:rFonts w:ascii="Courier New" w:hAnsi="Courier New"/>
          <w:sz w:val="17"/>
        </w:rPr>
        <w:t xml:space="preserve">fünfundvierzigsten Lebensjahrs    das Achtfache,</w:t>
      </w:r>
    </w:p>
    <w:p>
      <w:r>
        <w:rPr>
          <w:rFonts w:ascii="Courier New" w:hAnsi="Courier New"/>
          <w:sz w:val="17"/>
        </w:rPr>
        <w:t xml:space="preserve">sechsundvierzigsten Lebensjahrs    das Siebenfache,</w:t>
      </w:r>
    </w:p>
    <w:p>
      <w:r>
        <w:rPr>
          <w:rFonts w:ascii="Courier New" w:hAnsi="Courier New"/>
          <w:sz w:val="17"/>
        </w:rPr>
        <w:t xml:space="preserve">siebenundvierzigsten Lebensjahrs    das Sechsfache,</w:t>
      </w:r>
    </w:p>
    <w:p>
      <w:r>
        <w:rPr>
          <w:rFonts w:ascii="Courier New" w:hAnsi="Courier New"/>
          <w:sz w:val="17"/>
        </w:rPr>
        <w:t xml:space="preserve">achtundvierzigsten Lebensjahrs    das Fünffache,</w:t>
      </w:r>
    </w:p>
    <w:p>
      <w:r>
        <w:rPr>
          <w:rFonts w:ascii="Courier New" w:hAnsi="Courier New"/>
          <w:sz w:val="17"/>
        </w:rPr>
        <w:t xml:space="preserve">neunundvierzigsten Lebensjahrs    das Vierfache,</w:t>
      </w:r>
    </w:p>
    <w:p>
      <w:r>
        <w:rPr>
          <w:rFonts w:ascii="Courier New" w:hAnsi="Courier New"/>
          <w:sz w:val="17"/>
        </w:rPr>
        <w:t xml:space="preserve">fünfzigsten und jedes weiteren Lebensjahrs    das Dreifache</w:t>
      </w:r>
    </w:p>
    <w:p>
      <w:r>
        <w:t xml:space="preserve">der Dienstbezüge (§ 1 Abs. 2 Nr. 1, 3 und 4 des Bundesbesoldungsgesetzes) des letzten Monats, höchstens jedoch das Achtfache der Dienstbezüge (§ 1 Abs. 2 Nr. 1 und 3 in Verbindung mit § 40 Abs. 2 des Bundesbesoldungsgesetzes) aus der Endstufe der Besoldungsgruppe A 14.</w:t>
      </w:r>
    </w:p>
    <w:p>
      <w:r>
        <w:rPr>
          <w:color w:val="555555"/>
          <w:sz w:val="17"/>
        </w:rPr>
        <w:t xml:space="preserve">Zitiervorschlag: § 2 StrKrPersStruktG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https://recht.nulegal.eu/gesetze/StrKrPersStruktG/2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