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StrHAV (Brandenburg) — (Inkrafttreten)</w:t>
      </w:r>
    </w:p>
    <w:p>
      <w:r>
        <w:rPr>
          <w:color w:val="555555"/>
          <w:sz w:val="18"/>
        </w:rPr>
        <w:t xml:space="preserve">Stromheizausnahmen-Verordnung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Verordnung ist in ihrer ursprünglichen Fassung am</w:t>
      </w:r>
    </w:p>
    <w:p>
      <w:r>
        <w:t xml:space="preserve">21. Juli 1993 in Kraft getreten.</w:t>
      </w:r>
    </w:p>
    <w:p>
      <w:r>
        <w:rPr>
          <w:color w:val="555555"/>
          <w:sz w:val="17"/>
        </w:rPr>
        <w:t xml:space="preserve">Zitiervorschlag: § 5 StrHAV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https://recht.nulegal.eu/gesetze/StrHAV/5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