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StrHAV (Brandenburg) — Anzeigepflicht für den Neuanschluß von Stromheizungen</w:t>
      </w:r>
    </w:p>
    <w:p>
      <w:r>
        <w:rPr>
          <w:color w:val="555555"/>
          <w:sz w:val="18"/>
        </w:rPr>
        <w:t xml:space="preserve">Stromheizausnahmen-Verordnung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Ist der Neuanschluß der in § 8 Abs. 3 Satz 1 des</w:t>
      </w:r>
    </w:p>
    <w:p>
      <w:r>
        <w:t xml:space="preserve">Vorschaltgesetzes zum Immissionsschutz genannten Wärmebedarfsdeckungsart</w:t>
      </w:r>
    </w:p>
    <w:p>
      <w:r>
        <w:t xml:space="preserve">beabsichtigt, hat der Betreiber dies der Ordnungsbehörde des Landkreises</w:t>
      </w:r>
    </w:p>
    <w:p>
      <w:r>
        <w:t xml:space="preserve">oder der kreisfreien Stadt unverzüglich anzuzeigen. Zusammen mit der</w:t>
      </w:r>
    </w:p>
    <w:p>
      <w:r>
        <w:t xml:space="preserve">Anzeige sind der Ordnungsbehörde des Landkreises oder der kreisfreien</w:t>
      </w:r>
    </w:p>
    <w:p>
      <w:r>
        <w:t xml:space="preserve">Stadt insbesondere folgende Informationen durch entsprechende Unterlagen zu</w:t>
      </w:r>
    </w:p>
    <w:p>
      <w:r>
        <w:t xml:space="preserve">übermitteln:</w:t>
      </w:r>
    </w:p>
    <w:p>
      <w:r>
        <w:t xml:space="preserve">Bezeichnung des Gebäudes, in dem die Stromheizung neu angeschlossen</w:t>
      </w:r>
    </w:p>
    <w:p>
      <w:r>
        <w:t xml:space="preserve">werden soll (Anschrift, gegebenenfalls Flurstücknummer),</w:t>
      </w:r>
    </w:p>
    <w:p>
      <w:r>
        <w:t xml:space="preserve">Anzahl der (Gesamt-) Wohneinheiten und der vorgesehenen Nutzungsart,</w:t>
      </w:r>
    </w:p>
    <w:p>
      <w:r>
        <w:t xml:space="preserve">Angaben über die vorhandenen oder vorgesehenen Heizarten in den</w:t>
      </w:r>
    </w:p>
    <w:p>
      <w:r>
        <w:t xml:space="preserve">einzelnen Wohneinheiten und den Anteil an Wohneinheiten, für die</w:t>
      </w:r>
    </w:p>
    <w:p>
      <w:r>
        <w:t xml:space="preserve">elektrische Stromversorgung zur Wärmebedarfsdeckung vorgesehen ist,</w:t>
      </w:r>
    </w:p>
    <w:p>
      <w:r>
        <w:t xml:space="preserve">Gesamtwärmebedarf des zu beheizenden Objektes,</w:t>
      </w:r>
    </w:p>
    <w:p>
      <w:r>
        <w:t xml:space="preserve">Wirtschaftlichkeitsberechnung nach VDI Richtlinie 2067,</w:t>
      </w:r>
    </w:p>
    <w:p>
      <w:r>
        <w:t xml:space="preserve">Einverständniserklärung des Vermieters oder des Verwalters,</w:t>
      </w:r>
    </w:p>
    <w:p>
      <w:r>
        <w:t xml:space="preserve">soweit die Unterlagen durch die Mieter vorgelegt werden,</w:t>
      </w:r>
    </w:p>
    <w:p>
      <w:r>
        <w:t xml:space="preserve">Ergebnisse einer nicht interessengebundenen Energieberatung, soweit eine</w:t>
      </w:r>
    </w:p>
    <w:p>
      <w:r>
        <w:t xml:space="preserve">solche stattgefunden hat.</w:t>
      </w:r>
    </w:p>
    <w:p>
      <w:r>
        <w:t xml:space="preserve">(2) Weitere Unterlagen können von der Ordnungsbehörde</w:t>
      </w:r>
    </w:p>
    <w:p>
      <w:r>
        <w:t xml:space="preserve">des Landkreises oder der kreisfreien Stadt nachgefordert werden.</w:t>
      </w:r>
    </w:p>
    <w:p>
      <w:r>
        <w:rPr>
          <w:color w:val="555555"/>
          <w:sz w:val="17"/>
        </w:rPr>
        <w:t xml:space="preserve">Zitiervorschlag: § 4 StrHAV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https://recht.nulegal.eu/gesetze/StrHAV/4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