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StrHAV (Brandenburg) — Ausnahmen für elektrische Direktheizungen</w:t>
      </w:r>
    </w:p>
    <w:p>
      <w:r>
        <w:rPr>
          <w:color w:val="555555"/>
          <w:sz w:val="18"/>
        </w:rPr>
        <w:t xml:space="preserve">Stromheizausnahmen-Verordnung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Neuanschluß von elektrischen Direktheizungen</w:t>
      </w:r>
    </w:p>
    <w:p>
      <w:r>
        <w:t xml:space="preserve">unterliegt nicht dem Verbot des § 8 Abs. 3 Satz 1 des Vorschaltgesetzes</w:t>
      </w:r>
    </w:p>
    <w:p>
      <w:r>
        <w:t xml:space="preserve">zum Immissionsschutz, wenn</w:t>
      </w:r>
    </w:p>
    <w:p>
      <w:r>
        <w:t xml:space="preserve">der Anschluß an Fernwärme, oder die Installation von mit</w:t>
      </w:r>
    </w:p>
    <w:p>
      <w:r>
        <w:t xml:space="preserve">festen, gasförmigen oder flüssigen Brennstoffen befeuerten Zentral-</w:t>
      </w:r>
    </w:p>
    <w:p>
      <w:r>
        <w:t xml:space="preserve">oder Blockheizungen nicht möglich ist oder der Neueinrichtung oder Nutzung</w:t>
      </w:r>
    </w:p>
    <w:p>
      <w:r>
        <w:t xml:space="preserve">öffentlich-rechtliche Vorschriften entgegenstehen oder</w:t>
      </w:r>
    </w:p>
    <w:p>
      <w:r>
        <w:t xml:space="preserve">bei einem Wirtschaftlichkeitsvergleich nach VDI Richtlinie 2067 sich um</w:t>
      </w:r>
    </w:p>
    <w:p>
      <w:r>
        <w:t xml:space="preserve">mindestens 15 vom Hundert geringere jährliche Gesamtkosten ergeben und der</w:t>
      </w:r>
    </w:p>
    <w:p>
      <w:r>
        <w:t xml:space="preserve">Anschluß ohne zusätzliche Netzinvestitionen oder die Erhöhung</w:t>
      </w:r>
    </w:p>
    <w:p>
      <w:r>
        <w:t xml:space="preserve">der für die Kraftwerksplanung maßgeblichen Höchstlast im Netz</w:t>
      </w:r>
    </w:p>
    <w:p>
      <w:r>
        <w:t xml:space="preserve">des Elektrizitätsversorgungsunternehmens erfolgen kann oder</w:t>
      </w:r>
    </w:p>
    <w:p>
      <w:r>
        <w:t xml:space="preserve">der Strom mit erneuerbaren Energien im Inselbetrieb erzeugt wird.</w:t>
      </w:r>
    </w:p>
    <w:p>
      <w:r>
        <w:t xml:space="preserve">(2) Der Neuanschluß von elektrischen Direktheizungen</w:t>
      </w:r>
    </w:p>
    <w:p>
      <w:r>
        <w:t xml:space="preserve">unterliegt nicht dem Verbot des § 8 Abs. 3 Satz 1 des Vorschaltgesetzes</w:t>
      </w:r>
    </w:p>
    <w:p>
      <w:r>
        <w:t xml:space="preserve">zum Immissionsschutz, wenn durch den Einsatz von elektrischen Direktheizungen</w:t>
      </w:r>
    </w:p>
    <w:p>
      <w:r>
        <w:t xml:space="preserve">gegenüber dem sonst zu betreibenden Heizungssystem Primärenergie</w:t>
      </w:r>
    </w:p>
    <w:p>
      <w:r>
        <w:t xml:space="preserve">eingespart wird.</w:t>
      </w:r>
    </w:p>
    <w:p>
      <w:r>
        <w:rPr>
          <w:color w:val="555555"/>
          <w:sz w:val="17"/>
        </w:rPr>
        <w:t xml:space="preserve">Zitiervorschlag: § 3 StrHAV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https://recht.nulegal.eu/gesetze/StrHAV/3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