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StrHAV (Brandenburg) — Allgemeine Ausnahmen</w:t>
      </w:r>
    </w:p>
    <w:p>
      <w:r>
        <w:rPr>
          <w:color w:val="555555"/>
          <w:sz w:val="18"/>
        </w:rPr>
        <w:t xml:space="preserve">Stromheizausnahmen-Verordnung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Neuanschluß von elektrischen Heizungen unterliegt</w:t>
      </w:r>
    </w:p>
    <w:p>
      <w:r>
        <w:t xml:space="preserve">nicht dem Verbot des § 8 Abs. 3 Satz 1 des Vorschaltgesetzes zum</w:t>
      </w:r>
    </w:p>
    <w:p>
      <w:r>
        <w:t xml:space="preserve">Immissionsschutz, wenn Baustelleneinrichtungen, Baubüros,</w:t>
      </w:r>
    </w:p>
    <w:p>
      <w:r>
        <w:t xml:space="preserve">Aufenthaltsräume im Bahnbereich, andere nicht zum dauernden Aufenthalt</w:t>
      </w:r>
    </w:p>
    <w:p>
      <w:r>
        <w:t xml:space="preserve">oder für eine dauernde Nutzung geeignete oder bestimmte Räume oder</w:t>
      </w:r>
    </w:p>
    <w:p>
      <w:r>
        <w:t xml:space="preserve">Räume im Sinne des § 54 Abs. 1 und 2 der Brandenburgischen Bauordnung</w:t>
      </w:r>
    </w:p>
    <w:p>
      <w:r>
        <w:t xml:space="preserve">vom 1. Juni 1994 (GVBl. I S. 126 und S. 404) erwärmt werden.</w:t>
      </w:r>
    </w:p>
    <w:p>
      <w:r>
        <w:rPr>
          <w:color w:val="555555"/>
          <w:sz w:val="17"/>
        </w:rPr>
        <w:t xml:space="preserve">Zitiervorschlag: § 2 StrHAV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https://recht.nulegal.eu/gesetze/StrHAV/2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