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StrHAV (Brandenburg) — Anwendungsbereich</w:t>
      </w:r>
    </w:p>
    <w:p>
      <w:r>
        <w:rPr>
          <w:color w:val="555555"/>
          <w:sz w:val="18"/>
        </w:rPr>
        <w:t xml:space="preserve">Stromheizausnahmen-Verordnung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bestimmt Ausnahmen für das</w:t>
      </w:r>
    </w:p>
    <w:p>
      <w:r>
        <w:t xml:space="preserve">Neuanschlußverbot von elektrischen Direktheizungen mit einer Nennleistung</w:t>
      </w:r>
    </w:p>
    <w:p>
      <w:r>
        <w:t xml:space="preserve">von mehr als maximal zwei Kilowatt zur Deckung eines Wärmebedarfs von mehr</w:t>
      </w:r>
    </w:p>
    <w:p>
      <w:r>
        <w:t xml:space="preserve">als zehn vom Hundert des Gesamtwärmebedarfs für jede Wohnungs- oder</w:t>
      </w:r>
    </w:p>
    <w:p>
      <w:r>
        <w:t xml:space="preserve">Betriebseinheit durch § 8 Abs. 3 Satz 1 des Vorschaltgesetzes zum</w:t>
      </w:r>
    </w:p>
    <w:p>
      <w:r>
        <w:t xml:space="preserve">Immissionsschutz.</w:t>
      </w:r>
    </w:p>
    <w:p>
      <w:r>
        <w:t xml:space="preserve">(2) Um einen Neuanschluß im Sinne von § 8 Abs. 3</w:t>
      </w:r>
    </w:p>
    <w:p>
      <w:r>
        <w:t xml:space="preserve">Satz 1 des Vorschaltgesetzes zum Immissionsschutz handelt es sichinsbesondere,</w:t>
      </w:r>
    </w:p>
    <w:p>
      <w:r>
        <w:t xml:space="preserve">wenn</w:t>
      </w:r>
    </w:p>
    <w:p>
      <w:r>
        <w:t xml:space="preserve">die in § 8 Abs. 3 Satz 1 des Vorschaltgesetzes zum Immissionsschutz</w:t>
      </w:r>
    </w:p>
    <w:p>
      <w:r>
        <w:t xml:space="preserve">genannte Wärmebedarfsdeckungsart für die Gesamtheit der zu</w:t>
      </w:r>
    </w:p>
    <w:p>
      <w:r>
        <w:t xml:space="preserve">beheizenden Räume erstmalig eingebaut wird,</w:t>
      </w:r>
    </w:p>
    <w:p>
      <w:r>
        <w:t xml:space="preserve">bei mehreren Wohn- oder Betriebseinheiten bereits eine mit der in § 8</w:t>
      </w:r>
    </w:p>
    <w:p>
      <w:r>
        <w:t xml:space="preserve">Abs. 3 Satz 1 des Vorschaltgesetzes zum Immissionsschutz genannten</w:t>
      </w:r>
    </w:p>
    <w:p>
      <w:r>
        <w:t xml:space="preserve">Wärmebedarfsdeckungsart ausgestattet ist und eine weitere mit einer</w:t>
      </w:r>
    </w:p>
    <w:p>
      <w:r>
        <w:t xml:space="preserve">solchen ausgestattet wird oder</w:t>
      </w:r>
    </w:p>
    <w:p>
      <w:r>
        <w:t xml:space="preserve">eine vorhandene elektrische Direktheizung in einer abgeschlossenen</w:t>
      </w:r>
    </w:p>
    <w:p>
      <w:r>
        <w:t xml:space="preserve">Wohnungs- oder Betriebseinheit vollständig ersetzt wird.</w:t>
      </w:r>
    </w:p>
    <w:p>
      <w:r>
        <w:t xml:space="preserve">(3) Kein Neuanschluß im Sinne von § 8 Abs. 3 Satz 1</w:t>
      </w:r>
    </w:p>
    <w:p>
      <w:r>
        <w:t xml:space="preserve">des Vorschaltgesetzes zum Immissionsschutz liegt vor, wenn</w:t>
      </w:r>
    </w:p>
    <w:p>
      <w:r>
        <w:t xml:space="preserve">eine vorhandene elektrische Direktheizung durch weitere Heizkörper</w:t>
      </w:r>
    </w:p>
    <w:p>
      <w:r>
        <w:t xml:space="preserve">ergänzt wird,</w:t>
      </w:r>
    </w:p>
    <w:p>
      <w:r>
        <w:t xml:space="preserve">der Anschlußwert einer bestehenden elektrischen Direktheizung</w:t>
      </w:r>
    </w:p>
    <w:p>
      <w:r>
        <w:t xml:space="preserve">erhöht wird oder</w:t>
      </w:r>
    </w:p>
    <w:p>
      <w:r>
        <w:t xml:space="preserve">eine bestehende Anlage teilweise erneuert wird.</w:t>
      </w:r>
    </w:p>
    <w:p>
      <w:r>
        <w:rPr>
          <w:color w:val="555555"/>
          <w:sz w:val="17"/>
        </w:rPr>
        <w:t xml:space="preserve">Zitiervorschlag: § 1 StrHAV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https://recht.nulegal.eu/gesetze/StrHAV/1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