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9 StrFinG — Betriebsbeihilfe für den Werkfernverkehr im Zonenrandgebiet und in den Frachthilfegebieten</w:t>
      </w:r>
    </w:p>
    <w:p>
      <w:r>
        <w:rPr>
          <w:color w:val="555555"/>
          <w:sz w:val="18"/>
        </w:rPr>
        <w:t xml:space="preserve">Straßenbaufinanzierungsgesetz</w:t>
      </w:r>
    </w:p>
    <w:p>
      <w:r>
        <w:rPr>
          <w:color w:val="555555"/>
          <w:sz w:val="18"/>
        </w:rPr>
        <w:t xml:space="preserve">Stand: 10.06.2019 (konsolidierte Textfassung, kein amtliches Inkrafttretensdatum)</w:t>
      </w:r>
    </w:p>
    <w:p>
      <w:r>
        <w:t xml:space="preserve">(1) Eine Betriebsbeihilfe für das im Werkfernverkehr im Sinne des Güterkraftverkehrsgesetzes bis zum 31. Dezember 1981 verbrauchte Gasöl wird gewährt an Inhaber von Lastkraftwagen, die ihren Standort im Zonenrandgebiet oder in den Frachthilfegebieten haben. Voraussetzung ist, daß das Gasöl zu Beförderungen gedient hat</w:t>
      </w:r>
    </w:p>
    <w:p>
      <w:pPr>
        <w:ind w:left="420"/>
      </w:pPr>
      <w:r>
        <w:t xml:space="preserve">a) unmittelbar zwischen Berlin West und dem Bundesgebiet,</w:t>
      </w:r>
    </w:p>
    <w:p>
      <w:pPr>
        <w:ind w:left="420"/>
      </w:pPr>
      <w:r>
        <w:t xml:space="preserve">b) unmittelbar zwischen dem Zonenrandgebiet oder den Frachthilfegebieten und dem übrigen Geltungsbereich des Grundgesetzes,</w:t>
      </w:r>
    </w:p>
    <w:p>
      <w:pPr>
        <w:ind w:left="420"/>
      </w:pPr>
      <w:r>
        <w:t xml:space="preserve">c) innerhalb des Zonenrandgebietes oder der Frachthilfegebiete.</w:t>
      </w:r>
    </w:p>
    <w:p>
      <w:r>
        <w:t xml:space="preserve">Das Bundesministerium der Finanzen bestimmt im Einvernehmen mit dem Bundesministerium für Verkehr und digitale Infrastruktur durch Rechtsverordnung, von welchen weiteren Voraussetzungen die Betriebsbeihilfe abhängt, insbesondere welche örtlichen Beziehungen zwischen dem Unternehmer und den bezeichneten Gebieten bestehen müssen, inwieweit eine direkte Beförderung von oder zu bestimmten Standorten zwischen diesen Gebieten und dem übrigen Bundesgebiet erforderlich ist und inwieweit und in welcher Form ein besonderer Buchnachweis für die Beförderungen zu fordern ist. Das Bundesministerium der Finanzen bestimmt ferner durch Rechtsverordnung, welche Gebiete als Zonenrandgebiet und als Frachthilfegebiete anzusehen sind.</w:t>
      </w:r>
    </w:p>
    <w:p>
      <w:r>
        <w:t xml:space="preserve">(2) Die Mittel für die Betriebsbeihilfen werden für jedes Rechnungsjahr in den Bundeshaushaltsplan eingestellt. Die Bemessungsgrundlage für die Haushaltsmittel ist der Verbrauch der begünstigten Verbrauchergruppen an Gasöl für die begünstigten Zwecke im vorangegangenen Kalenderjahr. Dabei werden für je 100 kg des Verbrauches 8,30 DM angesetzt.</w:t>
      </w:r>
    </w:p>
    <w:p>
      <w:r>
        <w:t xml:space="preserve">(3) Die Bundesregierung bestimmt durch Rechtsverordnung das Nähere über</w:t>
      </w:r>
    </w:p>
    <w:p>
      <w:pPr>
        <w:ind w:left="420"/>
      </w:pPr>
      <w:r>
        <w:t xml:space="preserve">1. die Verteilung der Mittel und die Berechnung der Beihilfen,</w:t>
      </w:r>
    </w:p>
    <w:p>
      <w:pPr>
        <w:ind w:left="420"/>
      </w:pPr>
      <w:r>
        <w:t xml:space="preserve">2. das Verfahren.</w:t>
      </w:r>
    </w:p>
    <w:p>
      <w:r>
        <w:t xml:space="preserve">(4) Die Gewährung der Betriebsbeihilfen kann davon abhängig gemacht werden, daß diese einen Betrag von 200 Deutsche Mark für den Abrechnungszeitraum übersteigen.</w:t>
      </w:r>
    </w:p>
    <w:p>
      <w:r>
        <w:rPr>
          <w:color w:val="555555"/>
          <w:sz w:val="17"/>
        </w:rPr>
        <w:t xml:space="preserve">Zitiervorschlag: Art 9 StrFinG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https://recht.nulegal.eu/gesetze/StrFinG/9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