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StrFinG — Verwendung der Straßenbaumittel</w:t>
      </w:r>
    </w:p>
    <w:p>
      <w:r>
        <w:rPr>
          <w:color w:val="555555"/>
          <w:sz w:val="18"/>
        </w:rPr>
        <w:t xml:space="preserve">Straßenbaufinanzierungsgesetz</w:t>
      </w:r>
    </w:p>
    <w:p>
      <w:r>
        <w:rPr>
          <w:color w:val="555555"/>
          <w:sz w:val="18"/>
        </w:rPr>
        <w:t xml:space="preserve">Stand: 01.01.2021 (konsolidierte Textfassung, kein amtliches Inkrafttretensdatum)</w:t>
      </w:r>
    </w:p>
    <w:p>
      <w:r>
        <w:t xml:space="preserve">(1) Über die Verwendung der Straßenbaumittel für die Bundesstraßen, soweit nicht dem Bund die Verwaltung der Bundesstraße zusteht, ist ein Straßenbauplan als Anlage zum Bundeshaushaltsplan aufzustellen.</w:t>
      </w:r>
    </w:p>
    <w:p>
      <w:r>
        <w:t xml:space="preserve">(2) Der Straßenbauplan umfaßt</w:t>
      </w:r>
    </w:p>
    <w:p>
      <w:pPr>
        <w:ind w:left="420"/>
      </w:pPr>
      <w:r>
        <w:t xml:space="preserve">1. die Mittel für Unterhaltung, Erweiterung, Ausbau und Neubau der Bundesstraßen, soweit nicht dem Bund die Verwaltung der Bundesstraße zusteht, die Mittel für den Erwerb von Grundstücken für Straßenbauzwecke, für Straßenbauforschung, für Zuwendungen an fremde Baulastträger und sonstige durch den Straßenbau Betroffene sowie für andere Zwecke des Straßenwesens;</w:t>
      </w:r>
    </w:p>
    <w:p>
      <w:pPr>
        <w:ind w:left="420"/>
      </w:pPr>
      <w:r>
        <w:t xml:space="preserve">2. die Kosten, Zinsen und Tilgungsbeträge für Anleihen und sonstige Schuldverbindlichkeiten, deren Erträge für Zwecke des Straßenwesens verwendet worden sind oder verwendet werden;</w:t>
      </w:r>
    </w:p>
    <w:p>
      <w:pPr>
        <w:ind w:left="420"/>
      </w:pPr>
      <w:r>
        <w:t xml:space="preserve">3. die Leistungen an andere Stellen, die für Rechnung des Bundes Straßenbauaufgaben ausführen;</w:t>
      </w:r>
    </w:p>
    <w:p>
      <w:pPr>
        <w:ind w:left="420"/>
      </w:pPr>
      <w:r>
        <w:t xml:space="preserve">4. die Zahlungen auf Grund von Verpflichtungen aus Sicherheitsleistungen und Gewährleistungen, die für Zwecke des Straßenwesens übernommen worden sind oder übernommen werden;</w:t>
      </w:r>
    </w:p>
    <w:p>
      <w:pPr>
        <w:ind w:left="420"/>
      </w:pPr>
      <w:r>
        <w:t xml:space="preserve">5. sonstige erforderliche Angaben über die Verwendung von Straßenbaumitteln.</w:t>
      </w:r>
    </w:p>
    <w:p>
      <w:r>
        <w:t xml:space="preserve">(3) Der Straßenbauplan kann für mehrere Rechnungsjahre aufgestellt werden. Das Bundesministerium für Verkehr und digitale Infrastruktur kann in diesem Fall mit Zustimmung des Bundesministeriums der Finanzen im Rahmen der für den Bau von Bundesstraßen, soweit nicht dem Bund die Verwaltung der Bundesstraße zusteht, bewilligten Mittel Baumaßnahmen, die im Straßenbauplan erst für ein späteres Rechnungsjahr vorgesehen sind, an Stelle der im laufenden Rechnungsjahr veranschlagten Vorhaben ausführen lassen.</w:t>
      </w:r>
    </w:p>
    <w:p>
      <w:r>
        <w:t xml:space="preserve">(4) Die Vorschriften über die Aufstellung und Feststellung des Bundeshaushaltsplans gelten sinngemäß für den Straßenbauplan.</w:t>
      </w:r>
    </w:p>
    <w:p>
      <w:r>
        <w:rPr>
          <w:color w:val="555555"/>
          <w:sz w:val="17"/>
        </w:rPr>
        <w:t xml:space="preserve">Zitiervorschlag: Art 3 StrFinG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https://recht.nulegal.eu/gesetze/StrFinG/3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