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StrFinG — Vorfinanzierung</w:t>
      </w:r>
    </w:p>
    <w:p>
      <w:r>
        <w:rPr>
          <w:color w:val="555555"/>
          <w:sz w:val="18"/>
        </w:rPr>
        <w:t xml:space="preserve">Straßenbaufinanzierungsgesetz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Das Bundesministerium der Finanzen wird ermächtigt, im Vorgriff auf das zweckgebundene Aufkommen an Mineralölsteuer späterer Rechnungsjahre Kredite bis zu einem jeweils durch das Haushaltsgesetz zu bestimmenden Betrag aufzunehmen.</w:t>
      </w:r>
    </w:p>
    <w:p>
      <w:r>
        <w:rPr>
          <w:color w:val="555555"/>
          <w:sz w:val="17"/>
        </w:rPr>
        <w:t xml:space="preserve">Zitiervorschlag: Art 2 StrFinG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https://recht.nulegal.eu/gesetze/StrFinG/2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