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StrFinG — Abwicklung von Ausgaberesten</w:t>
      </w:r>
    </w:p>
    <w:p>
      <w:r>
        <w:rPr>
          <w:color w:val="555555"/>
          <w:sz w:val="18"/>
        </w:rPr>
        <w:t xml:space="preserve">Straßenbaufinanzierungsgesetz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Ausgabereste aus früheren Rechnungsjahren, für die Fortsetzungsraten im Straßenbauplan nicht vorgesehen sind, werden außerhalb des Straßenbauplans zu Lasten der allgemeinen Haushaltsmittel abgewickelt.</w:t>
      </w:r>
    </w:p>
    <w:p>
      <w:r>
        <w:t xml:space="preserve">(2) Vor Inkrafttreten dieses Gesetzes überplanmäßig oder außerplanmäßig bereitgestellte Mittel zur Durchführung von Straßenbaumaßnahmen sind aus den nach Artikel 1 und 2 dieses Gesetzes zweckgebundenen Mitteln zu decken.</w:t>
      </w:r>
    </w:p>
    <w:p>
      <w:r>
        <w:rPr>
          <w:color w:val="555555"/>
          <w:sz w:val="17"/>
        </w:rPr>
        <w:t xml:space="preserve">Zitiervorschlag: Art 13 StrFinG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https://recht.nulegal.eu/gesetze/StrFinG/13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