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StrFinG</w:t>
      </w:r>
    </w:p>
    <w:p>
      <w:r>
        <w:rPr>
          <w:color w:val="555555"/>
          <w:sz w:val="18"/>
        </w:rPr>
        <w:t xml:space="preserve">Straßenbaufinanzierungsgesetz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nach Maßgabe des § 12 Abs. 1 und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t xml:space="preserve">(2) Artikel I Nr. 2 des Gesetzes des Landes Berlin zur Änderung des Kraftfahrzeugsteuergesetzes vom 3. August 1950 (Verordnungsblatt für Groß-Berlin I S. 379) bleibt unberührt.</w:t>
      </w:r>
    </w:p>
    <w:p>
      <w:r>
        <w:rPr>
          <w:color w:val="555555"/>
          <w:sz w:val="17"/>
        </w:rPr>
        <w:t xml:space="preserve">Zitiervorschlag: Art 12 StrFinG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https://recht.nulegal.eu/gesetze/StrFinG/12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