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StrFinG — Zweckbindung des Aufkommens der Mineralölsteuer</w:t>
      </w:r>
    </w:p>
    <w:p>
      <w:r>
        <w:rPr>
          <w:color w:val="555555"/>
          <w:sz w:val="18"/>
        </w:rPr>
        <w:t xml:space="preserve">Straßenbaufinanzierungsgesetz</w:t>
      </w:r>
    </w:p>
    <w:p>
      <w:r>
        <w:rPr>
          <w:color w:val="555555"/>
          <w:sz w:val="18"/>
        </w:rPr>
        <w:t xml:space="preserve">Stand: 10.06.2019 (konsolidierte Textfassung, kein amtliches Inkrafttretensdatum)</w:t>
      </w:r>
    </w:p>
    <w:p>
      <w:r>
        <w:t xml:space="preserve">Das Aufkommen an Mineralölsteuer, ausgenommen das Aufkommen aus der Besteuerung der Schweröle und Reinigungsextrakte nach § 8 Abs. 2 des Mineralölsteuergesetzes, ist im Rechnungsjahr 1964 in Höhe von 46 vom Hundert, im Rechnungsjahr 1965 in Höhe von 48 vom Hundert und in den folgenden Rechnungsjahren in Höhe von 50 vom Hundert für Zwecke des Straßenwesens zu verwenden. Dies gilt nicht für das Mehraufkommen an Mineralölsteuer, das sich infolge der Änderung von §§ 2, 8 Abs. 2 und § 15b des Mineralölsteuergesetzes durch Artikel 1 Nr. 2, 8 und 19 des Verbrauchsteueränderungsgesetzes 1988 vom 20. Dezember 1988 (BGBl. I S. 2270) und der Änderung von §§ 2, 8 Abs. 2 und § 15b des Mineralölsteuergesetzes durch Artikel 3 Nr. 1, 2 und 5 des Gesetzes vom 24. Juni 1991 (BGBl. I S. 1318) ergibt.</w:t>
      </w:r>
    </w:p>
    <w:p>
      <w:r>
        <w:rPr>
          <w:color w:val="555555"/>
          <w:sz w:val="17"/>
        </w:rPr>
        <w:t xml:space="preserve">Zitiervorschlag: Art 1 StrFinG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https://recht.nulegal.eu/gesetze/StrFinG/1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