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StrEG — Umfang des Entschädigungsanspruchs</w:t>
      </w:r>
    </w:p>
    <w:p>
      <w:r>
        <w:rPr>
          <w:color w:val="555555"/>
          <w:sz w:val="18"/>
        </w:rPr>
        <w:t xml:space="preserve">Gesetz über die Entschädigung für Strafverfolgungsmaßnahmen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(1) Gegenstand der Entschädigung ist der durch die Strafverfolgungsmaßnahme verursachte Vermögensschaden, im Falle der Freiheitsentziehung auf Grund gerichtlicher Entscheidung auch der Schaden, der nicht Vermögensschaden ist.</w:t>
      </w:r>
    </w:p>
    <w:p>
      <w:r>
        <w:t xml:space="preserve">(2) Entschädigung für Vermögensschaden wird nur geleistet, wenn der nachgewiesene Schaden den Betrag von fünfundzwanzig Euro übersteigt.</w:t>
      </w:r>
    </w:p>
    <w:p>
      <w:r>
        <w:t xml:space="preserve">(3) Für den Schaden, der nicht Vermögensschaden ist, beträgt die Entschädigung 75 Euro für jeden angefangenen Tag der Freiheitsentziehung.</w:t>
      </w:r>
    </w:p>
    <w:p>
      <w:r>
        <w:t xml:space="preserve">(4) Für einen Schaden, der auch ohne die Strafverfolgungsmaßnahme eingetreten wäre, wird keine Entschädigung geleistet.</w:t>
      </w:r>
    </w:p>
    <w:p>
      <w:r>
        <w:rPr>
          <w:color w:val="555555"/>
          <w:sz w:val="17"/>
        </w:rPr>
        <w:t xml:space="preserve">Zitiervorschlag: § 7 StrEG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