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StrEG — Versagung der Entschädigung</w:t>
      </w:r>
    </w:p>
    <w:p>
      <w:r>
        <w:rPr>
          <w:color w:val="555555"/>
          <w:sz w:val="18"/>
        </w:rPr>
        <w:t xml:space="preserve">Gesetz über die Entschädigung für Strafverfolgungsmaßnahmen</w:t>
      </w:r>
    </w:p>
    <w:p>
      <w:r>
        <w:rPr>
          <w:color w:val="555555"/>
          <w:sz w:val="18"/>
        </w:rPr>
        <w:t xml:space="preserve">Stand: 10.06.2019 (konsolidierte Textfassung, kein amtliches Inkrafttretensdatum)</w:t>
      </w:r>
    </w:p>
    <w:p>
      <w:r>
        <w:t xml:space="preserve">(1) Die Entschädigung kann ganz oder teilweise versagt werden, wenn der Beschuldigte</w:t>
      </w:r>
    </w:p>
    <w:p>
      <w:pPr>
        <w:ind w:left="420"/>
      </w:pPr>
      <w:r>
        <w:t xml:space="preserve">1. die Strafverfolgungsmaßnahme dadurch veranlaßt hat, daß er sich selbst in wesentlichen Punkten wahrheitswidrig oder im Widerspruch zu seinen späteren Erklärungen belastet oder wesentliche entlastende Umstände verschwiegen hat, obwohl er sich zur Beschuldigung geäußert hat, oder</w:t>
      </w:r>
    </w:p>
    <w:p>
      <w:pPr>
        <w:ind w:left="420"/>
      </w:pPr>
      <w:r>
        <w:t xml:space="preserve">2. wegen einer Straftat nur deshalb nicht verurteilt oder das Verfahren gegen ihn eingestellt worden ist, weil er im Zustand der Schuldunfähigkeit gehandelt hat oder weil ein Verfahrenshindernis bestand.</w:t>
      </w:r>
    </w:p>
    <w:p>
      <w:r>
        <w:t xml:space="preserve">(2) Die Entschädigung für eine Freiheitsentziehung kann ferner ganz oder teilweise versagt werden, wenn das Gericht die für einen Jugendlichen geltenden Vorschriften anwendet und hierbei eine erlittene Freiheitsentziehung berücksichtigt.</w:t>
      </w:r>
    </w:p>
    <w:p>
      <w:r>
        <w:rPr>
          <w:color w:val="555555"/>
          <w:sz w:val="17"/>
        </w:rPr>
        <w:t xml:space="preserve">Zitiervorschlag: § 6 StrEG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https://recht.nulegal.eu/gesetze/StrEG/6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