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StrEG — Entschädigung nach Billigkeit</w:t>
      </w:r>
    </w:p>
    <w:p>
      <w:r>
        <w:rPr>
          <w:color w:val="555555"/>
          <w:sz w:val="18"/>
        </w:rPr>
        <w:t xml:space="preserve">Gesetz über die Entschädigung für Strafverfolgungsmaßnahmen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in § 2 genannten Strafverfolgungsmaßnahmen kann eine Entschädigung gewährt werden, soweit dies nach den Umständen des Falles der Billigkeit entspricht,</w:t>
      </w:r>
    </w:p>
    <w:p>
      <w:pPr>
        <w:ind w:left="420"/>
      </w:pPr>
      <w:r>
        <w:t xml:space="preserve">1. wenn das Gericht von Strafe abgesehen hat,</w:t>
      </w:r>
    </w:p>
    <w:p>
      <w:pPr>
        <w:ind w:left="420"/>
      </w:pPr>
      <w:r>
        <w:t xml:space="preserve">2. soweit die in der strafgerichtlichen Verurteilung angeordneten Rechtsfolgen geringer sind als die darauf gerichteten Strafverfolgungsmaßnahmen.</w:t>
      </w:r>
    </w:p>
    <w:p>
      <w:r>
        <w:t xml:space="preserve">(2) Der strafgerichtlichen Verurteilung im Sinne des Absatzes 1 Nr. 2 steht es gleich, wenn die Tat nach Einleitung des Strafverfahrens nur unter dem rechtlichen Gesichtspunkt einer Ordnungswidrigkeit geahndet wird.</w:t>
      </w:r>
    </w:p>
    <w:p>
      <w:r>
        <w:rPr>
          <w:color w:val="555555"/>
          <w:sz w:val="17"/>
        </w:rPr>
        <w:t xml:space="preserve">Zitiervorschlag: § 4 StrEG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