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StrEG — Entschädigung bei Einstellung nach Ermessensvorschrift</w:t>
      </w:r>
    </w:p>
    <w:p>
      <w:r>
        <w:rPr>
          <w:color w:val="555555"/>
          <w:sz w:val="18"/>
        </w:rPr>
        <w:t xml:space="preserve">Gesetz über die Entschädigung für Strafverfolgungsmaßnahmen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das Verfahren nach einer Vorschrift eingestellt, die dies nach dem Ermessen des Gerichts oder der Staatsanwaltschaft zuläßt, so kann für die in § 2 genannten Strafverfolgungsmaßnahmen eine Entschädigung gewährt werden, soweit dies nach den Umständen des Falles der Billigkeit entspricht.</w:t>
      </w:r>
    </w:p>
    <w:p>
      <w:r>
        <w:rPr>
          <w:color w:val="555555"/>
          <w:sz w:val="17"/>
        </w:rPr>
        <w:t xml:space="preserve">Zitiervorschlag: § 3 StrEG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https://recht.nulegal.eu/gesetze/StrEG/3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