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16a StrEG — Entschädigung für die Folgen einer rechtskräftigen Verurteilung, einer freiheitsentziehenden oder anderen vorläufigen Strafverfolgungsmaßnahme in der Deutschen Demokratischen Republik</w:t>
      </w:r>
    </w:p>
    <w:p>
      <w:r>
        <w:rPr>
          <w:color w:val="555555"/>
          <w:sz w:val="18"/>
        </w:rPr>
        <w:t xml:space="preserve">Gesetz über die Entschädigung für Strafverfolgungsmaßnahmen</w:t>
      </w:r>
    </w:p>
    <w:p>
      <w:r>
        <w:rPr>
          <w:color w:val="555555"/>
          <w:sz w:val="18"/>
        </w:rPr>
        <w:t xml:space="preserve">Stand: 10.06.2019 (konsolidierte Textfassung, kein amtliches Inkrafttretensdatum)</w:t>
      </w:r>
    </w:p>
    <w:p>
      <w:r>
        <w:t xml:space="preserve">Die §§ 1 und 2 finden keine Anwendung auf die Folgen einer strafgerichtlichen Verurteilung, einer Maßregel oder Nebenfolge oder einer freiheitsentziehenden oder anderen vorläufigen Strafverfolgungsmaßnahme, die vor dem Wirksamwerden des Beitritts in der Deutschen Demokratischen Republik erfolgte oder angeordnet wurde. Die Voraussetzungen der Entschädigung für diese Folgen richten sich nach den bis zu diesem Zeitpunkt in der Deutschen Demokratischen Republik geltenden Vorschriften über die Entschädigung für Untersuchungshaft und Strafen mit Freiheitsentzug (§§ 369ff. der Strafprozeßordnung der Deutschen Demokratischen Republik), soweit nicht eine Rehabilitierung nach dem Strafrechtlichen Rehabilitierungsgesetz erfolgt oder ein Kassationsverfahren nach den vom 3. Oktober 1990 bis zum Inkrafttreten des Strafrechtlichen Rehabilitierungsgesetzes geltenden Vorschriften abgeschlossen ist. Für Art und Höhe der Entschädigung gelten die Vorschriften des Strafrechtlichen Rehabilitierungsgesetzes entsprechend.</w:t>
      </w:r>
    </w:p>
    <w:p>
      <w:r>
        <w:rPr>
          <w:color w:val="555555"/>
          <w:sz w:val="17"/>
        </w:rPr>
        <w:t xml:space="preserve">Zitiervorschlag: § 16a StrEG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https://recht.nulegal.eu/gesetze/StrEG/16a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