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StrEG — Ersatzanspruch des kraft Gesetzes Unterhaltsberechtigten</w:t>
      </w:r>
    </w:p>
    <w:p>
      <w:r>
        <w:rPr>
          <w:color w:val="555555"/>
          <w:sz w:val="18"/>
        </w:rPr>
        <w:t xml:space="preserve">Gesetz über die Entschädigung für Strafverfolgungsmaßnahmen</w:t>
      </w:r>
    </w:p>
    <w:p>
      <w:r>
        <w:rPr>
          <w:color w:val="555555"/>
          <w:sz w:val="18"/>
        </w:rPr>
        <w:t xml:space="preserve">Stand: 10.06.2019 (konsolidierte Textfassung, kein amtliches Inkrafttretensdatum)</w:t>
      </w:r>
    </w:p>
    <w:p>
      <w:r>
        <w:t xml:space="preserve">(1) Außer demjenigen, zu dessen Gunsten die Entschädigungspflicht der Staatskasse ausgesprochen worden ist, haben die Personen, denen er kraft Gesetzes unterhaltspflichtig war, Anspruch auf Entschädigung. Ihnen ist insoweit Ersatz zu leisten, als ihnen durch die Strafverfolgungsmaßnahme der Unterhalt entzogen worden ist.</w:t>
      </w:r>
    </w:p>
    <w:p>
      <w:r>
        <w:t xml:space="preserve">(2) Sind Unterhaltsberechtigte bekannt, so soll die Staatsanwaltschaft, bei welcher der Anspruch geltend zu machen ist, sie über ihr Antragsrecht und die Frist belehren. Im übrigen ist § 10 Abs. 1 anzuwenden.</w:t>
      </w:r>
    </w:p>
    <w:p>
      <w:r>
        <w:rPr>
          <w:color w:val="555555"/>
          <w:sz w:val="17"/>
        </w:rPr>
        <w:t xml:space="preserve">Zitiervorschlag: § 11 StrEG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