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StrEG — Entschädigung für Urteilsfolgen</w:t>
      </w:r>
    </w:p>
    <w:p>
      <w:r>
        <w:rPr>
          <w:color w:val="555555"/>
          <w:sz w:val="18"/>
        </w:rPr>
        <w:t xml:space="preserve">Gesetz über die Entschädigung für Strafverfolgungsmaßnahmen</w:t>
      </w:r>
    </w:p>
    <w:p>
      <w:r>
        <w:rPr>
          <w:color w:val="555555"/>
          <w:sz w:val="18"/>
        </w:rPr>
        <w:t xml:space="preserve">Stand: 10.06.2019 (konsolidierte Textfassung, kein amtliches Inkrafttretensdatum)</w:t>
      </w:r>
    </w:p>
    <w:p>
      <w:r>
        <w:t xml:space="preserve">(1) Wer durch eine strafgerichtliche Verurteilung einen Schaden erlitten hat, wird aus der Staatskasse entschädigt, soweit die Verurteilung im Wiederaufnahmeverfahren oder sonst, nachdem sie rechtskräftig geworden ist, in einem Strafverfahren fortfällt oder gemildert wird.</w:t>
      </w:r>
    </w:p>
    <w:p>
      <w:r>
        <w:t xml:space="preserve">(2) Absatz 1 gilt entsprechend, wenn ohne Verurteilung eine Maßregel der Besserung und Sicherung oder eine Nebenfolge angeordnet worden ist.</w:t>
      </w:r>
    </w:p>
    <w:p>
      <w:r>
        <w:rPr>
          <w:color w:val="555555"/>
          <w:sz w:val="17"/>
        </w:rPr>
        <w:t xml:space="preserve">Zitiervorschlag: § 1 StrEG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