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StrBetrManBAProFV — Inkrafttreten</w:t>
      </w:r>
    </w:p>
    <w:p>
      <w:r>
        <w:rPr>
          <w:color w:val="555555"/>
          <w:sz w:val="18"/>
        </w:rPr>
        <w:t xml:space="preserve">Bachelor-Professional-in-Straßenbetriebsmanagement-Fortbildungsverordnung</w:t>
      </w:r>
    </w:p>
    <w:p>
      <w:r>
        <w:rPr>
          <w:color w:val="555555"/>
          <w:sz w:val="18"/>
        </w:rPr>
        <w:t xml:space="preserve">Stand: 20.07.2023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23 StrBetrManBAProFV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https://recht.nulegal.eu/gesetze/StrBetrManBAProFV/23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