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StrBetrManBAProFV — Nachweis der Ausbildereignung</w:t>
      </w:r>
    </w:p>
    <w:p>
      <w:r>
        <w:rPr>
          <w:color w:val="555555"/>
          <w:sz w:val="18"/>
        </w:rPr>
        <w:t xml:space="preserve">Bachelor-Professional-in-Straßenbetriebsmanagement-Fortbildungsverordnung</w:t>
      </w:r>
    </w:p>
    <w:p>
      <w:r>
        <w:rPr>
          <w:color w:val="555555"/>
          <w:sz w:val="18"/>
        </w:rPr>
        <w:t xml:space="preserve">Stand: 20.07.2023 (konsolidierte Textfassung, kein amtliches Inkrafttretensdatum)</w:t>
      </w:r>
    </w:p>
    <w:p>
      <w:r>
        <w:t xml:space="preserve">(1) Für den Erwerb des Fortbildungsabschlusses nach dieser Verordnung hat die zu prüfende Person ihre berufs- und arbeitspädagogischen Qualifikationen nachzuweisen durch</w:t>
      </w:r>
    </w:p>
    <w:p>
      <w:pPr>
        <w:ind w:left="420"/>
      </w:pPr>
      <w:r>
        <w:t xml:space="preserve">1. eine erfolgreich abgelegte Prüfung nach § 4 der Ausbilder-Eignungsverordnung oder nach den §§ 4 und 5 der Allgemeinen Meisterprüfungsverordnung oder</w:t>
      </w:r>
    </w:p>
    <w:p>
      <w:pPr>
        <w:ind w:left="420"/>
      </w:pPr>
      <w:r>
        <w:t xml:space="preserve">2. eine andere erfolgreich abgelegte vergleichbare Prüfung vor einer öffentlichen oder staatlich anerkannten Bildungseinrichtung oder vor einem staatlichen Prüfungsausschuss.</w:t>
      </w:r>
    </w:p>
    <w:p>
      <w:r>
        <w:t xml:space="preserve">(2) Der Nachweis ist vor dem Ablegen der ersten Prüfungsleistung im Prüfungsteil „Handlungsspezifische Qualifikationen“ nach den §§ 14 und 15 vorzulegen.</w:t>
      </w:r>
    </w:p>
    <w:p>
      <w:r>
        <w:rPr>
          <w:color w:val="555555"/>
          <w:sz w:val="17"/>
        </w:rPr>
        <w:t xml:space="preserve">Zitiervorschlag: § 21 StrBetrManBAProFV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https://recht.nulegal.eu/gesetze/StrBetrManBAProFV/21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