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StrBNÜbkÄndProtG</w:t>
      </w:r>
    </w:p>
    <w:p>
      <w:r>
        <w:rPr>
          <w:color w:val="555555"/>
          <w:sz w:val="18"/>
        </w:rPr>
        <w:t xml:space="preserve">Gesetz zu dem Protokoll vom 22. März 2000 zur Änderung des Übereinkommens vom 9. Februar 1994 über die Erhebung von Gebühren für die Benutzung bestimmter Straßen mit schweren Nutzfahrzeugen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Artikel 1 tritt am Tage nach der Verkündung in Kraft.</w:t>
      </w:r>
    </w:p>
    <w:p>
      <w:r>
        <w:t xml:space="preserve">(2)</w:t>
      </w:r>
    </w:p>
    <w:p>
      <w:r>
        <w:t xml:space="preserve">(3) Artikel 4 tritt mit Wirkung vom 1. Juli 2000 in Kraft.</w:t>
      </w:r>
    </w:p>
    <w:p>
      <w:r>
        <w:t xml:space="preserve">(4) Im Übrigen tritt dieses Gesetz am 1. Januar 2001 in Kraft.</w:t>
      </w:r>
    </w:p>
    <w:p>
      <w:r>
        <w:t xml:space="preserve">(5) Der Tag, an dem das Protokoll nach seinem Artikel 9 für die Bundesrepublik Deutschland in Kraft tritt, ist im Bundesgesetzblatt bekannt zu geben.</w:t>
      </w:r>
    </w:p>
    <w:p>
      <w:r>
        <w:rPr>
          <w:color w:val="555555"/>
          <w:sz w:val="17"/>
        </w:rPr>
        <w:t xml:space="preserve">Zitiervorschlag: Art 5 StrBNÜbkÄndProtG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https://recht.nulegal.eu/gesetze/StrBN%C3%9Cbk%C3%84ndProtG/5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