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StrBNÜbkÄndProtG</w:t>
      </w:r>
    </w:p>
    <w:p>
      <w:r>
        <w:rPr>
          <w:color w:val="555555"/>
          <w:sz w:val="18"/>
        </w:rPr>
        <w:t xml:space="preserve">Gesetz zu dem Protokoll vom 22. März 2000 zur Änderung des Übereinkommens vom 9. Februar 1994 über die Erhebung von Gebühren für die Benutzung bestimmter Straßen mit schweren Nutzfahrzeugen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StrBNÜbkÄndProtG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https://recht.nulegal.eu/gesetze/StrBN%C3%9Cbk%C3%84ndProtG/2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